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rujaxia04r9b" w:id="0"/>
      <w:bookmarkEnd w:id="0"/>
      <w:r w:rsidDel="00000000" w:rsidR="00000000" w:rsidRPr="00000000">
        <w:rPr>
          <w:sz w:val="46"/>
          <w:szCs w:val="46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patterns identificados durante a visualização do código: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FreeColClientHolder.java - Adapter Pattern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Explicação: FreecolClientHolder é um Adapter pois simplifica a complexidade da classe FreecolClient.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FSGConverter.java - Singleton Pattern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Explicação: FSGConverter tem seu construtor privado e um método, que só permite a criação de apenas uma instância do objeto dessa classe.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009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AbstractOption.java -Template method Pattern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Explicação: o AbstractOption</w:t>
      </w:r>
      <w:r w:rsidDel="00000000" w:rsidR="00000000" w:rsidRPr="00000000">
        <w:rPr>
          <w:rtl w:val="0"/>
        </w:rPr>
        <w:t xml:space="preserve"> define as etapas para executar um algoritmo e fornece implementação padrão que pode ser comum para todas ou algumas das subclasses (BooleanOption, ItegerOption, FileOption,...)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