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b/>
          <w:bCs/>
          <w:color w:val="595959"/>
          <w:sz w:val="20"/>
          <w:szCs w:val="20"/>
        </w:rPr>
        <w:t xml:space="preserve">N A V I S Y N   M A R I N E   S O L U T I O N S</w:t>
      </w:r>
    </w:p>
    <w:p>
      <w:pPr>
        <w:spacing w:after="160"/>
        <w:jc w:val="center"/>
      </w:pPr>
      <w:r>
        <w:rPr>
          <w:rFonts w:ascii="Calibri" w:cs="Calibri" w:eastAsia="Calibri" w:hAnsi="Calibri"/>
          <w:b/>
          <w:bCs/>
          <w:color w:val="1F3864"/>
          <w:sz w:val="64"/>
          <w:szCs w:val="64"/>
        </w:rPr>
        <w:t xml:space="preserve">From Demo to Instrument</w:t>
      </w:r>
    </w:p>
    <w:p>
      <w:pPr>
        <w:spacing w:after="400"/>
        <w:jc w:val="center"/>
      </w:pPr>
      <w:r>
        <w:rPr>
          <w:rFonts w:ascii="Calibri" w:cs="Calibri" w:eastAsia="Calibri" w:hAnsi="Calibri"/>
          <w:color w:val="2E5496"/>
          <w:sz w:val="28"/>
          <w:szCs w:val="28"/>
        </w:rPr>
        <w:t xml:space="preserve">A red-team market, strategy, and validation report for the NaviSense Simulator</w:t>
      </w:r>
    </w:p>
    <w:p>
      <w:pPr>
        <w:spacing w:after="60"/>
        <w:jc w:val="center"/>
      </w:pPr>
      <w:r>
        <w:rPr>
          <w:rFonts w:ascii="Calibri" w:cs="Calibri" w:eastAsia="Calibri" w:hAnsi="Calibri"/>
          <w:color w:val="595959"/>
          <w:sz w:val="21"/>
          <w:szCs w:val="21"/>
        </w:rPr>
        <w:t xml:space="preserve">Project reviewed: NaviSense_UE5 (Unreal Engine 5.7 canonical workspace)</w:t>
      </w:r>
    </w:p>
    <w:p>
      <w:pPr>
        <w:spacing w:after="400"/>
        <w:jc w:val="center"/>
      </w:pPr>
      <w:r>
        <w:rPr>
          <w:rFonts w:ascii="Calibri" w:cs="Calibri" w:eastAsia="Calibri" w:hAnsi="Calibri"/>
          <w:color w:val="595959"/>
          <w:sz w:val="21"/>
          <w:szCs w:val="21"/>
        </w:rPr>
        <w:t xml:space="preserve">Scope: engineering audit · market research · startup critique · minimum viable segment · IMO MASS Code &amp; DNV AROS alignment · sim-to-real program · scalability &amp; validation strategy</w:t>
      </w:r>
    </w:p>
    <w:p>
      <w:pPr>
        <w:spacing w:after="60"/>
        <w:jc w:val="center"/>
      </w:pPr>
      <w:r>
        <w:rPr>
          <w:rFonts w:ascii="Calibri" w:cs="Calibri" w:eastAsia="Calibri" w:hAnsi="Calibri"/>
          <w:b/>
          <w:bCs/>
          <w:color w:val="1A1A1A"/>
          <w:sz w:val="22"/>
          <w:szCs w:val="22"/>
        </w:rPr>
        <w:t xml:space="preserve">Prepared for the founder — internal, maximum candor</w:t>
      </w:r>
    </w:p>
    <w:p>
      <w:pPr>
        <w:spacing w:after="500"/>
        <w:jc w:val="center"/>
      </w:pPr>
      <w:r>
        <w:rPr>
          <w:rFonts w:ascii="Calibri" w:cs="Calibri" w:eastAsia="Calibri" w:hAnsi="Calibri"/>
          <w:color w:val="1A1A1A"/>
          <w:sz w:val="22"/>
          <w:szCs w:val="22"/>
        </w:rPr>
        <w:t xml:space="preserve">14 July 2026 · Version 1.0</w:t>
      </w:r>
    </w:p>
    <w:p>
      <w:pPr>
        <w:spacing w:after="0"/>
        <w:jc w:val="center"/>
      </w:pPr>
      <w:r>
        <w:rPr>
          <w:rFonts w:ascii="Calibri" w:cs="Calibri" w:eastAsia="Calibri" w:hAnsi="Calibri"/>
          <w:i/>
          <w:iCs/>
          <w:color w:val="595959"/>
          <w:sz w:val="18"/>
          <w:szCs w:val="18"/>
        </w:rPr>
        <w:t xml:space="preserve">Market and regulatory claims are sourced (Appendix A); project claims derive from a same-day audit of the workspace. This document contains forward-looking judgments; kill criteria in Part XI make them falsifiable.</w:t>
      </w:r>
    </w:p>
    <w:p>
      <w:r>
        <w:br w:type="page"/>
      </w:r>
    </w:p>
    <w:p>
      <w:pPr>
        <w:pStyle w:val="Heading1"/>
        <w:spacing w:after="200"/>
      </w:pPr>
      <w:r>
        <w:rPr>
          <w:rFonts w:ascii="Calibri" w:cs="Calibri" w:eastAsia="Calibri" w:hAnsi="Calibri"/>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Executive verdict</w:t>
      </w:r>
    </w:p>
    <w:p>
      <w:pPr>
        <w:spacing w:after="160" w:line="276"/>
        <w:jc w:val="both"/>
      </w:pPr>
      <w:r>
        <w:rPr>
          <w:rFonts w:ascii="Calibri" w:cs="Calibri" w:eastAsia="Calibri" w:hAnsi="Calibri"/>
          <w:color w:val="1A1A1A"/>
          <w:sz w:val="22"/>
          <w:szCs w:val="22"/>
        </w:rPr>
        <w:t xml:space="preserve">This report was commissioned as a red-team evaluation: review the NaviSense_UE5 project as it actually stands, research the market it claims to enter, find the flaws and wrong assumptions, identify a minimum viable segment, and lay out a strategy for regulatory alignment (IMO MASS Code, DNV AROS), sim-to-real credibility, scalability, and validation. It is written for you alone, at maximum candor. Praise appears only where it is earned; it is earned in some places.</w:t>
      </w:r>
    </w:p>
    <w:p>
      <w:pPr>
        <w:spacing w:after="160" w:line="276"/>
        <w:jc w:val="both"/>
      </w:pPr>
      <w:r>
        <w:rPr>
          <w:rFonts w:ascii="Calibri" w:cs="Calibri" w:eastAsia="Calibri" w:hAnsi="Calibri"/>
          <w:b/>
          <w:bCs/>
          <w:color w:val="1A1A1A"/>
          <w:sz w:val="22"/>
          <w:szCs w:val="22"/>
        </w:rPr>
        <w:t xml:space="preserve">The one-paragraph verdict.</w:t>
      </w:r>
      <w:r>
        <w:rPr>
          <w:rFonts w:ascii="Calibri" w:cs="Calibri" w:eastAsia="Calibri" w:hAnsi="Calibri"/>
          <w:color w:val="1A1A1A"/>
          <w:sz w:val="22"/>
          <w:szCs w:val="22"/>
        </w:rPr>
        <w:t xml:space="preserve"> You have built an unusually disciplined engineering artifact — a closed-loop UE5 maritime simulator with an MMG plant, a versioned sensor schema, COLREGS conformance scoring, one-command reproducible runs, and an evidence-pack generator, all guarded by a verification culture (gated </w:t>
      </w:r>
      <w:r>
        <w:rPr>
          <w:rFonts w:ascii="Consolas" w:cs="Consolas" w:eastAsia="Consolas" w:hAnsi="Consolas"/>
          <w:color w:val="7A2E2E"/>
          <w:sz w:val="20"/>
          <w:szCs w:val="20"/>
        </w:rPr>
        <w:t xml:space="preserve">verify_*</w:t>
      </w:r>
      <w:r>
        <w:rPr>
          <w:rFonts w:ascii="Calibri" w:cs="Calibri" w:eastAsia="Calibri" w:hAnsi="Calibri"/>
          <w:color w:val="1A1A1A"/>
          <w:sz w:val="22"/>
          <w:szCs w:val="22"/>
        </w:rPr>
        <w:t xml:space="preserve"> scripts with negative controls, an honesty ledger, known-issue tracking) that most funded startups do not have. You have also, by your own admission, built it without a problem owner. The physics is centred on one yacht whose hull you do not clearly own, whose hydrodynamic coefficients are not yet validated by the CFD campaign your own documents say is pending, in a vertical — autonomous yachts — where nobody currently buys validation. Distribution is at absolute zero after five tracked weeks: no domain, no public handle, zero of ten warm contacts listed, no grant confirmed submitted, and the flagship soft-launch date passed without the film that was supposed to carry it. The gap between the quality of your engineering and the emptiness of your market contact is the defining fact of this project, and every recommendation in this report follows from it.</w:t>
      </w:r>
    </w:p>
    <w:p>
      <w:pPr>
        <w:spacing w:after="160" w:line="276"/>
        <w:jc w:val="both"/>
      </w:pPr>
      <w:r>
        <w:rPr>
          <w:rFonts w:ascii="Calibri" w:cs="Calibri" w:eastAsia="Calibri" w:hAnsi="Calibri"/>
          <w:b/>
          <w:bCs/>
          <w:color w:val="1A1A1A"/>
          <w:sz w:val="22"/>
          <w:szCs w:val="22"/>
        </w:rPr>
        <w:t xml:space="preserve">The central reframe.</w:t>
      </w:r>
      <w:r>
        <w:rPr>
          <w:rFonts w:ascii="Calibri" w:cs="Calibri" w:eastAsia="Calibri" w:hAnsi="Calibri"/>
          <w:color w:val="1A1A1A"/>
          <w:sz w:val="22"/>
          <w:szCs w:val="22"/>
        </w:rPr>
        <w:t xml:space="preserve"> The market will not buy "a simulator" from a solo, part-time founder — incumbents (Kongsberg, Wärtsilä), a $15B gorilla moving into maritime defense autonomy (Applied Intuition, post-EpiSci) [S14][S15], and free open-source stacks (VRX, HoloOcean, Stonefish, ASVSim) [S18][S19] bracket that product from above and below. What none of them sells, and what the regulatory clock has just made valuable, is </w:t>
      </w:r>
      <w:r>
        <w:rPr>
          <w:rFonts w:ascii="Calibri" w:cs="Calibri" w:eastAsia="Calibri" w:hAnsi="Calibri"/>
          <w:i/>
          <w:iCs/>
          <w:color w:val="1A1A1A"/>
          <w:sz w:val="22"/>
          <w:szCs w:val="22"/>
        </w:rPr>
        <w:t xml:space="preserve">credible, reproducible, regulation-mapped verification evidence</w:t>
      </w:r>
      <w:r>
        <w:rPr>
          <w:rFonts w:ascii="Calibri" w:cs="Calibri" w:eastAsia="Calibri" w:hAnsi="Calibri"/>
          <w:color w:val="1A1A1A"/>
          <w:sz w:val="22"/>
          <w:szCs w:val="22"/>
        </w:rPr>
        <w:t xml:space="preserve"> for small autonomous-vessel developers. The IMO adopted the first MASS Code in May 2026 (resolution MSC.595(111)); it took voluntary effect on 1 July 2026; an Experience-Building Phase is being framed at MSC 112 in December 2026; a mandatory code is expected around 2030, entering force 1 January 2032 [S1][S2][S4]. Every autonomy developer that wants to operate, insure, or sell in that window must produce structured safety evidence, and almost none of them can afford the incumbents' tooling or a class society's bespoke process at every iteration. Your evidence pipeline — not your Monaco renderer — is the product. NaviSense should be repositioned from "flagship marine-autonomy simulator" to </w:t>
      </w:r>
      <w:r>
        <w:rPr>
          <w:rFonts w:ascii="Calibri" w:cs="Calibri" w:eastAsia="Calibri" w:hAnsi="Calibri"/>
          <w:i/>
          <w:iCs/>
          <w:color w:val="1A1A1A"/>
          <w:sz w:val="22"/>
          <w:szCs w:val="22"/>
        </w:rPr>
        <w:t xml:space="preserve">verification instrument</w:t>
      </w:r>
      <w:r>
        <w:rPr>
          <w:rFonts w:ascii="Calibri" w:cs="Calibri" w:eastAsia="Calibri" w:hAnsi="Calibri"/>
          <w:color w:val="1A1A1A"/>
          <w:sz w:val="22"/>
          <w:szCs w:val="22"/>
        </w:rPr>
        <w:t xml:space="preserve">: the cheapest defensible way to turn an autonomy stack plus a scenario set into a signed, reproducible, MASS-Code-mapped evidence dossier. The UE5 world is the demo and the perception tier; the headless pipeline is the business.</w:t>
      </w:r>
    </w:p>
    <w:p>
      <w:pPr>
        <w:spacing w:after="160" w:line="276"/>
        <w:jc w:val="both"/>
      </w:pPr>
      <w:r>
        <w:rPr>
          <w:rFonts w:ascii="Calibri" w:cs="Calibri" w:eastAsia="Calibri" w:hAnsi="Calibri"/>
          <w:b/>
          <w:bCs/>
          <w:color w:val="1A1A1A"/>
          <w:sz w:val="22"/>
          <w:szCs w:val="22"/>
        </w:rPr>
        <w:t xml:space="preserve">Scores, in the manner of an evaluator's memo.</w:t>
      </w:r>
      <w:r>
        <w:rPr>
          <w:rFonts w:ascii="Calibri" w:cs="Calibri" w:eastAsia="Calibri" w:hAnsi="Calibri"/>
          <w:color w:val="1A1A1A"/>
          <w:sz w:val="22"/>
          <w:szCs w:val="22"/>
        </w:rPr>
        <w:t xml:space="preserve"> Engineering discipline: A−. Product definition: C−, because a product is defined by a buyer and a job, and neither is named yet. Physics credibility: C, pending the CFD/tank validation you have correctly stopped claiming (the KI-019 correction was the right instinct; this report generalizes it). Market evidence: F, not because the market is absent but because you have gathered none of it firsthand. Regulatory timing: A, through luck and instinct — the MASS Code window is real and you are early. Survivability as currently operated: poor. Survivability if the recommendations in Part XI are executed: plausible, with the honest caveat that the single biggest risk is not technical and cannot be engineered away — it is that you continue to prefer building to selling.</w:t>
      </w:r>
    </w:p>
    <w:p>
      <w:pPr>
        <w:spacing w:after="160" w:line="276"/>
        <w:jc w:val="both"/>
      </w:pPr>
      <w:r>
        <w:rPr>
          <w:rFonts w:ascii="Calibri" w:cs="Calibri" w:eastAsia="Calibri" w:hAnsi="Calibri"/>
          <w:b/>
          <w:bCs/>
          <w:color w:val="1A1A1A"/>
          <w:sz w:val="22"/>
          <w:szCs w:val="22"/>
        </w:rPr>
        <w:t xml:space="preserve">What this report contains.</w:t>
      </w:r>
      <w:r>
        <w:rPr>
          <w:rFonts w:ascii="Calibri" w:cs="Calibri" w:eastAsia="Calibri" w:hAnsi="Calibri"/>
          <w:color w:val="1A1A1A"/>
          <w:sz w:val="22"/>
          <w:szCs w:val="22"/>
        </w:rPr>
        <w:t xml:space="preserve"> Part I audits what actually exists. Part II maps the market with sourced numbers and names. Part III enumerates fifteen flaws and wrong assumptions, each with its consequence and correction. Part IV identifies the minimum viable segment and the strategy to win it. Part V is the MASS Code / DNV AROS alignment playbook, including a concrete artifact-to-requirement mapping. Part VI is the sim-to-real program. Part VII addresses the "de facto validation platform" ambition honestly. Part VIII is the scalability and architecture plan. Part IX is the product validation strategy with acceptance criteria. Part X lists what you have overlooked as founder and lead engineer, including legal and IP exposure. Part XI is the 30/90/365-day plan with explicit kill criteria. Appendices carry the source list and the regulatory mapping tables.</w:t>
      </w:r>
    </w:p>
    <w:p>
      <w:pPr>
        <w:pBdr>
          <w:left w:val="single" w:color="2E5496" w:sz="12" w:space="8"/>
        </w:pBdr>
        <w:spacing w:after="160" w:line="264"/>
        <w:ind w:left="360" w:right="240"/>
        <w:jc w:val="both"/>
      </w:pPr>
      <w:r>
        <w:rPr>
          <w:rFonts w:ascii="Calibri" w:cs="Calibri" w:eastAsia="Calibri" w:hAnsi="Calibri"/>
          <w:i/>
          <w:iCs/>
          <w:color w:val="595959"/>
          <w:sz w:val="20"/>
          <w:szCs w:val="20"/>
        </w:rPr>
        <w:t xml:space="preserve">Method note: project facts are drawn from a direct audit of the workspace on 14 July 2026 (code, </w:t>
      </w:r>
      <w:r>
        <w:rPr>
          <w:rFonts w:ascii="Consolas" w:cs="Consolas" w:eastAsia="Consolas" w:hAnsi="Consolas"/>
          <w:color w:val="7A2E2E"/>
          <w:sz w:val="18"/>
          <w:szCs w:val="18"/>
        </w:rPr>
        <w:t xml:space="preserve">PROGRESS.md</w:t>
      </w:r>
      <w:r>
        <w:rPr>
          <w:rFonts w:ascii="Calibri" w:cs="Calibri" w:eastAsia="Calibri" w:hAnsi="Calibri"/>
          <w:i/>
          <w:iCs/>
          <w:color w:val="595959"/>
          <w:sz w:val="20"/>
          <w:szCs w:val="20"/>
        </w:rPr>
        <w:t xml:space="preserve">, work packets, strategy documents). Market and regulatory claims are sourced from July-2026 web research; bracketed tags like [S1] resolve in Appendix A. Where a claim rests on my judgment rather than a source, the text says so. Numbers from commercial market-research firms are treated as directional, not precise — their definitional inflation is itself discussed in Part II.</w:t>
      </w:r>
    </w:p>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Part I — Engineering audit: what actually exists</w:t>
      </w:r>
    </w:p>
    <w:p>
      <w:pPr>
        <w:pStyle w:val="Heading2"/>
        <w:spacing w:after="120" w:before="300"/>
      </w:pPr>
      <w:r>
        <w:rPr>
          <w:rFonts w:ascii="Calibri" w:cs="Calibri" w:eastAsia="Calibri" w:hAnsi="Calibri"/>
          <w:b/>
          <w:bCs/>
          <w:color w:val="2E5496"/>
          <w:sz w:val="26"/>
          <w:szCs w:val="26"/>
        </w:rPr>
        <w:t xml:space="preserve">I.1 Inventory</w:t>
      </w:r>
    </w:p>
    <w:p>
      <w:pPr>
        <w:spacing w:after="160" w:line="276"/>
        <w:jc w:val="both"/>
      </w:pPr>
      <w:r>
        <w:rPr>
          <w:rFonts w:ascii="Calibri" w:cs="Calibri" w:eastAsia="Calibri" w:hAnsi="Calibri"/>
          <w:color w:val="1A1A1A"/>
          <w:sz w:val="22"/>
          <w:szCs w:val="22"/>
        </w:rPr>
        <w:t xml:space="preserve">The canonical workspace ("NaviSense Simulator with Unreal Engine") contains an Unreal Engine 5.7 project (~2,900 lines of C++ across a bridge socket layer, sim subsystem, ship pawn, actuators, hydrostatics, sensor bundle, and a coordinate-convention header with tests) and a Python side of ~14,400 lines (plant adapters, MMG dynamics package, scenario and autopilot controllers, sensor models for GPS/IMU/AIS/radar/camera, sea-state scheduling, COLREGS scoring, run logging, evidence-pack and HTML report generation, a one-command demo runner, a preflight GO/NO-GO gate, a clean-machine readiness doctor, and roughly thirty dated </w:t>
      </w:r>
      <w:r>
        <w:rPr>
          <w:rFonts w:ascii="Consolas" w:cs="Consolas" w:eastAsia="Consolas" w:hAnsi="Consolas"/>
          <w:color w:val="7A2E2E"/>
          <w:sz w:val="20"/>
          <w:szCs w:val="20"/>
        </w:rPr>
        <w:t xml:space="preserve">verify_*</w:t>
      </w:r>
      <w:r>
        <w:rPr>
          <w:rFonts w:ascii="Calibri" w:cs="Calibri" w:eastAsia="Calibri" w:hAnsi="Calibri"/>
          <w:color w:val="1A1A1A"/>
          <w:sz w:val="22"/>
          <w:szCs w:val="22"/>
        </w:rPr>
        <w:t xml:space="preserve"> gate scripts). The MMG maneuvering model lives in </w:t>
      </w:r>
      <w:r>
        <w:rPr>
          <w:rFonts w:ascii="Consolas" w:cs="Consolas" w:eastAsia="Consolas" w:hAnsi="Consolas"/>
          <w:color w:val="7A2E2E"/>
          <w:sz w:val="20"/>
          <w:szCs w:val="20"/>
        </w:rPr>
        <w:t xml:space="preserve">Maneuvering/maniobrabilidad/mmg/</w:t>
      </w:r>
      <w:r>
        <w:rPr>
          <w:rFonts w:ascii="Calibri" w:cs="Calibri" w:eastAsia="Calibri" w:hAnsi="Calibri"/>
          <w:color w:val="1A1A1A"/>
          <w:sz w:val="22"/>
          <w:szCs w:val="22"/>
        </w:rPr>
        <w:t xml:space="preserve"> parameterized by </w:t>
      </w:r>
      <w:r>
        <w:rPr>
          <w:rFonts w:ascii="Consolas" w:cs="Consolas" w:eastAsia="Consolas" w:hAnsi="Consolas"/>
          <w:color w:val="7A2E2E"/>
          <w:sz w:val="20"/>
          <w:szCs w:val="20"/>
        </w:rPr>
        <w:t xml:space="preserve">DOLPHIN.yaml</w:t>
      </w:r>
      <w:r>
        <w:rPr>
          <w:rFonts w:ascii="Calibri" w:cs="Calibri" w:eastAsia="Calibri" w:hAnsi="Calibri"/>
          <w:color w:val="1A1A1A"/>
          <w:sz w:val="22"/>
          <w:szCs w:val="22"/>
        </w:rPr>
        <w:t xml:space="preserve"> — hull, propeller, rudder, bow thruster, environment modules. The loop runs closed: Python plant drives the UE pawn over a socket bridge; sensors echo back on a versioned </w:t>
      </w:r>
      <w:r>
        <w:rPr>
          <w:rFonts w:ascii="Consolas" w:cs="Consolas" w:eastAsia="Consolas" w:hAnsi="Consolas"/>
          <w:color w:val="7A2E2E"/>
          <w:sz w:val="20"/>
          <w:szCs w:val="20"/>
        </w:rPr>
        <w:t xml:space="preserve">sensor.v1</w:t>
      </w:r>
      <w:r>
        <w:rPr>
          <w:rFonts w:ascii="Calibri" w:cs="Calibri" w:eastAsia="Calibri" w:hAnsi="Calibri"/>
          <w:color w:val="1A1A1A"/>
          <w:sz w:val="22"/>
          <w:szCs w:val="22"/>
        </w:rPr>
        <w:t xml:space="preserve"> envelope; runs log to disk with a canonical monotonic clock; an evidence pack computes IMO maneuvering KPIs (turning-circle advance/tactical diameter against the IMO criteria, zig-zag overshoots) and COLREGS encounter verdicts with CPA/TCPA.</w:t>
      </w:r>
    </w:p>
    <w:p>
      <w:pPr>
        <w:spacing w:after="160" w:line="276"/>
        <w:jc w:val="both"/>
      </w:pPr>
      <w:r>
        <w:rPr>
          <w:rFonts w:ascii="Calibri" w:cs="Calibri" w:eastAsia="Calibri" w:hAnsi="Calibri"/>
          <w:color w:val="1A1A1A"/>
          <w:sz w:val="22"/>
          <w:szCs w:val="22"/>
        </w:rPr>
        <w:t xml:space="preserve">Demo-gate status as of 13 July: D1 closed loop ✅; D2 6-DOF water ride mostly confirmed (an eye-check remains); D3 runtime sea states ✅; D4 sensors ✅ scoped (GPS/IMU validated against the plant with correlation 1.0000 and sub-half-metre median position residual on two real runs; AIS/radar/camera proven on the wire in-engine; Cesium live-GPS scoped out); D5 wake VFX ✅ mechanically; D6 evidence pack ◐ (works headless and on the live run; a Windows-side rebuild remains after the KI-038 stale-mount incident); D7 film ☐ (the folder is empty); D8 clean-machine repro ◐ (headless proven, clean-box confirm pending). A 13-minute live MMG run at sea state 2 with three AIS targets ran on 12 July; the 11 July demo target slipped by one day for the run and remains open for film, stills, and the closeout gate.</w:t>
      </w:r>
    </w:p>
    <w:p>
      <w:pPr>
        <w:pStyle w:val="Heading2"/>
        <w:spacing w:after="120" w:before="300"/>
      </w:pPr>
      <w:r>
        <w:rPr>
          <w:rFonts w:ascii="Calibri" w:cs="Calibri" w:eastAsia="Calibri" w:hAnsi="Calibri"/>
          <w:b/>
          <w:bCs/>
          <w:color w:val="2E5496"/>
          <w:sz w:val="26"/>
          <w:szCs w:val="26"/>
        </w:rPr>
        <w:t xml:space="preserve">I.2 What is genuinely strong</w:t>
      </w:r>
    </w:p>
    <w:p>
      <w:pPr>
        <w:spacing w:after="160" w:line="276"/>
        <w:jc w:val="both"/>
      </w:pPr>
      <w:r>
        <w:rPr>
          <w:rFonts w:ascii="Calibri" w:cs="Calibri" w:eastAsia="Calibri" w:hAnsi="Calibri"/>
          <w:color w:val="1A1A1A"/>
          <w:sz w:val="22"/>
          <w:szCs w:val="22"/>
        </w:rPr>
        <w:t xml:space="preserve">Four things stand out as above-market-grade. First, the verification culture: every work packet ships with a gate script and negative controls, failures are recorded rather than smoothed (the KI ledger runs to at least KI-038), and an incident in which an evidence pack was silently built from a stale 47% view of a run directory produced, within a day, a P0 integrity gate that refuses partial packs and watermarks provenance. That is exactly the reflex a </w:t>
      </w:r>
      <w:r>
        <w:rPr>
          <w:rFonts w:ascii="Calibri" w:cs="Calibri" w:eastAsia="Calibri" w:hAnsi="Calibri"/>
          <w:i/>
          <w:iCs/>
          <w:color w:val="1A1A1A"/>
          <w:sz w:val="22"/>
          <w:szCs w:val="22"/>
        </w:rPr>
        <w:t xml:space="preserve">verification company</w:t>
      </w:r>
      <w:r>
        <w:rPr>
          <w:rFonts w:ascii="Calibri" w:cs="Calibri" w:eastAsia="Calibri" w:hAnsi="Calibri"/>
          <w:color w:val="1A1A1A"/>
          <w:sz w:val="22"/>
          <w:szCs w:val="22"/>
        </w:rPr>
        <w:t xml:space="preserve"> needs, and it is rare. Second, reproducibility as a feature: one-command runs, a repro doctor, deterministic headless self-tests, schema-versioned telemetry. Third, the evidence artifact itself: a single-file HTML report with embedded plots, IMO KPI tables, health verdicts, and honest provenance is a sellable object in a way "a simulator" is not. Fourth, the honesty ledger extends to marketing: when a draft claimed "CFD-validated physics" that the data could not support, it was caught and corrected (KI-019). Most founders never catch that; it is the difference between a future credible vendor and a future cautionary LinkedIn post.</w:t>
      </w:r>
    </w:p>
    <w:p>
      <w:pPr>
        <w:pStyle w:val="Heading2"/>
        <w:spacing w:after="120" w:before="300"/>
      </w:pPr>
      <w:r>
        <w:rPr>
          <w:rFonts w:ascii="Calibri" w:cs="Calibri" w:eastAsia="Calibri" w:hAnsi="Calibri"/>
          <w:b/>
          <w:bCs/>
          <w:color w:val="2E5496"/>
          <w:sz w:val="26"/>
          <w:szCs w:val="26"/>
        </w:rPr>
        <w:t xml:space="preserve">I.3 What is weak, fragile, or missing</w:t>
      </w:r>
    </w:p>
    <w:p>
      <w:pPr>
        <w:spacing w:after="160" w:line="276"/>
        <w:jc w:val="both"/>
      </w:pPr>
      <w:r>
        <w:rPr>
          <w:rFonts w:ascii="Calibri" w:cs="Calibri" w:eastAsia="Calibri" w:hAnsi="Calibri"/>
          <w:color w:val="1A1A1A"/>
          <w:sz w:val="22"/>
          <w:szCs w:val="22"/>
        </w:rPr>
        <w:t xml:space="preserve">Against a buyer's or assessor's checklist, the weaknesses are equally clear, and most of them cluster around a single theme: the system's </w:t>
      </w:r>
      <w:r>
        <w:rPr>
          <w:rFonts w:ascii="Calibri" w:cs="Calibri" w:eastAsia="Calibri" w:hAnsi="Calibri"/>
          <w:i/>
          <w:iCs/>
          <w:color w:val="1A1A1A"/>
          <w:sz w:val="22"/>
          <w:szCs w:val="22"/>
        </w:rPr>
        <w:t xml:space="preserve">credibility claims outrun its validation basis</w:t>
      </w:r>
      <w:r>
        <w:rPr>
          <w:rFonts w:ascii="Calibri" w:cs="Calibri" w:eastAsia="Calibri" w:hAnsi="Calibri"/>
          <w:color w:val="1A1A1A"/>
          <w:sz w:val="22"/>
          <w:szCs w:val="22"/>
        </w:rPr>
        <w:t xml:space="preserve">.</w:t>
      </w:r>
    </w:p>
    <w:p>
      <w:pPr>
        <w:spacing w:after="160" w:line="276"/>
        <w:jc w:val="both"/>
      </w:pPr>
      <w:r>
        <w:rPr>
          <w:rFonts w:ascii="Calibri" w:cs="Calibri" w:eastAsia="Calibri" w:hAnsi="Calibri"/>
          <w:b/>
          <w:bCs/>
          <w:color w:val="1A1A1A"/>
          <w:sz w:val="22"/>
          <w:szCs w:val="22"/>
        </w:rPr>
        <w:t xml:space="preserve">Physics provenance.</w:t>
      </w:r>
      <w:r>
        <w:rPr>
          <w:rFonts w:ascii="Calibri" w:cs="Calibri" w:eastAsia="Calibri" w:hAnsi="Calibri"/>
          <w:color w:val="1A1A1A"/>
          <w:sz w:val="22"/>
          <w:szCs w:val="22"/>
        </w:rPr>
        <w:t xml:space="preserve"> The MMG plant is standard-method and competently assembled, but the DOLPHIN coefficients are not yet backed by the captive CFD campaign; your own model-test project records geometry fixes and CFD runs as pending. Until that closes, the physics is "textbook MMG with estimated coefficients for one hull" — respectable for research, unsupportable for any claim containing the word "validated." The plant core is 3-DOF maneuvering; heave/roll/pitch ride on a proxy attitude layer driven by sea-state spectra rather than a seakeeping force model. That is a legitimate engineering choice for visualization and low-frequency maneuvering studies, and indefensible if ever presented as wave-load physics.</w:t>
      </w:r>
    </w:p>
    <w:p>
      <w:pPr>
        <w:spacing w:after="160" w:line="276"/>
        <w:jc w:val="both"/>
      </w:pPr>
      <w:r>
        <w:rPr>
          <w:rFonts w:ascii="Calibri" w:cs="Calibri" w:eastAsia="Calibri" w:hAnsi="Calibri"/>
          <w:b/>
          <w:bCs/>
          <w:color w:val="1A1A1A"/>
          <w:sz w:val="22"/>
          <w:szCs w:val="22"/>
        </w:rPr>
        <w:t xml:space="preserve">Sensor realism.</w:t>
      </w:r>
      <w:r>
        <w:rPr>
          <w:rFonts w:ascii="Calibri" w:cs="Calibri" w:eastAsia="Calibri" w:hAnsi="Calibri"/>
          <w:color w:val="1A1A1A"/>
          <w:sz w:val="22"/>
          <w:szCs w:val="22"/>
        </w:rPr>
        <w:t xml:space="preserve"> GPS/IMU fidelity is validated </w:t>
      </w:r>
      <w:r>
        <w:rPr>
          <w:rFonts w:ascii="Calibri" w:cs="Calibri" w:eastAsia="Calibri" w:hAnsi="Calibri"/>
          <w:i/>
          <w:iCs/>
          <w:color w:val="1A1A1A"/>
          <w:sz w:val="22"/>
          <w:szCs w:val="22"/>
        </w:rPr>
        <w:t xml:space="preserve">against the plant</w:t>
      </w:r>
      <w:r>
        <w:rPr>
          <w:rFonts w:ascii="Calibri" w:cs="Calibri" w:eastAsia="Calibri" w:hAnsi="Calibri"/>
          <w:color w:val="1A1A1A"/>
          <w:sz w:val="22"/>
          <w:szCs w:val="22"/>
        </w:rPr>
        <w:t xml:space="preserve"> — i.e., the sensors faithfully report the simulation. That is internal consistency, not realism. Radar is geometric blips without clutter, multipath, sea-state-dependent detection, or RCS modelling (your own KI-027 says so); AIS has no dropout, latency jitter, or reporting-interval realism tied to class; the camera is a rendering, with no validated noise, weather, or optics model. For control-loop research this is fine; for perception validation it is not yet anything.</w:t>
      </w:r>
    </w:p>
    <w:p>
      <w:pPr>
        <w:spacing w:after="160" w:line="276"/>
        <w:jc w:val="both"/>
      </w:pPr>
      <w:r>
        <w:rPr>
          <w:rFonts w:ascii="Calibri" w:cs="Calibri" w:eastAsia="Calibri" w:hAnsi="Calibri"/>
          <w:b/>
          <w:bCs/>
          <w:color w:val="1A1A1A"/>
          <w:sz w:val="22"/>
          <w:szCs w:val="22"/>
        </w:rPr>
        <w:t xml:space="preserve">Determinism and timing.</w:t>
      </w:r>
      <w:r>
        <w:rPr>
          <w:rFonts w:ascii="Calibri" w:cs="Calibri" w:eastAsia="Calibri" w:hAnsi="Calibri"/>
          <w:color w:val="1A1A1A"/>
          <w:sz w:val="22"/>
          <w:szCs w:val="22"/>
        </w:rPr>
        <w:t xml:space="preserve"> The plant is fixed-step, but the engine clock diverges from the sim clock under FPS variation (KI-012, and the earlier KI-024 3×-rate incident). A verification instrument must be bit-reproducible headless (you are close) and time-consistent in-engine (you are not yet).</w:t>
      </w:r>
    </w:p>
    <w:p>
      <w:pPr>
        <w:spacing w:after="160" w:line="276"/>
        <w:jc w:val="both"/>
      </w:pPr>
      <w:r>
        <w:rPr>
          <w:rFonts w:ascii="Calibri" w:cs="Calibri" w:eastAsia="Calibri" w:hAnsi="Calibri"/>
          <w:b/>
          <w:bCs/>
          <w:color w:val="1A1A1A"/>
          <w:sz w:val="22"/>
          <w:szCs w:val="22"/>
        </w:rPr>
        <w:t xml:space="preserve">Single-machine, single-person existential risk.</w:t>
      </w:r>
      <w:r>
        <w:rPr>
          <w:rFonts w:ascii="Calibri" w:cs="Calibri" w:eastAsia="Calibri" w:hAnsi="Calibri"/>
          <w:color w:val="1A1A1A"/>
          <w:sz w:val="22"/>
          <w:szCs w:val="22"/>
        </w:rPr>
        <w:t xml:space="preserve"> KI-006 — no off-machine git remote — has been open for a month. One disk failure currently deletes the company. This is not a technical footnote; it is the highest-severity item in the audit. Relatedly: Windows-only, one developer machine, ~40 fps with Cesium tiles on that machine, and no CI on the C++ build.</w:t>
      </w:r>
    </w:p>
    <w:p>
      <w:pPr>
        <w:spacing w:after="160" w:line="276"/>
        <w:jc w:val="both"/>
      </w:pPr>
      <w:r>
        <w:rPr>
          <w:rFonts w:ascii="Calibri" w:cs="Calibri" w:eastAsia="Calibri" w:hAnsi="Calibri"/>
          <w:b/>
          <w:bCs/>
          <w:color w:val="1A1A1A"/>
          <w:sz w:val="22"/>
          <w:szCs w:val="22"/>
        </w:rPr>
        <w:t xml:space="preserve">The platform/product boundary is undrawn.</w:t>
      </w:r>
      <w:r>
        <w:rPr>
          <w:rFonts w:ascii="Calibri" w:cs="Calibri" w:eastAsia="Calibri" w:hAnsi="Calibri"/>
          <w:color w:val="1A1A1A"/>
          <w:sz w:val="22"/>
          <w:szCs w:val="22"/>
        </w:rPr>
        <w:t xml:space="preserve"> The valuable IP (plant, scoring, evidence, schema) is Python and engine-agnostic in principle, but it is not yet packaged as an installable, versioned library with a public API; the UE project and the Python tree are one workspace. "Several users" — your stated ambition — is currently impossible: there is no license mechanism, no packaged build, no docs site, no second machine that has ever run it besides the self-test path.</w:t>
      </w:r>
    </w:p>
    <w:p>
      <w:pPr>
        <w:spacing w:after="160" w:line="276"/>
        <w:jc w:val="both"/>
      </w:pPr>
      <w:r>
        <w:rPr>
          <w:rFonts w:ascii="Calibri" w:cs="Calibri" w:eastAsia="Calibri" w:hAnsi="Calibri"/>
          <w:b/>
          <w:bCs/>
          <w:color w:val="1A1A1A"/>
          <w:sz w:val="22"/>
          <w:szCs w:val="22"/>
        </w:rPr>
        <w:t xml:space="preserve">Master's-project shape.</w:t>
      </w:r>
      <w:r>
        <w:rPr>
          <w:rFonts w:ascii="Calibri" w:cs="Calibri" w:eastAsia="Calibri" w:hAnsi="Calibri"/>
          <w:color w:val="1A1A1A"/>
          <w:sz w:val="22"/>
          <w:szCs w:val="22"/>
        </w:rPr>
        <w:t xml:space="preserve"> The system is broad (rendering, sensors, VFX, dashboards, ports, radar, roadmapped LiDAR/sonar) and thin at the exact points a paying assessor would drill: coefficient provenance, seakeeping validity envelope, sensor error models, uncertainty statements. That shape is the natural output of a thesis plus enthusiasm; Part IV's strategy is largely an exercise in inverting it — narrowing the surface and deepening the two or three layers someone will pay for.</w:t>
      </w:r>
    </w:p>
    <w:p>
      <w:pPr>
        <w:pStyle w:val="Heading2"/>
        <w:spacing w:after="120" w:before="300"/>
      </w:pPr>
      <w:r>
        <w:rPr>
          <w:rFonts w:ascii="Calibri" w:cs="Calibri" w:eastAsia="Calibri" w:hAnsi="Calibri"/>
          <w:b/>
          <w:bCs/>
          <w:color w:val="2E5496"/>
          <w:sz w:val="26"/>
          <w:szCs w:val="26"/>
        </w:rPr>
        <w:t xml:space="preserve">I.4 Audit conclusion</w:t>
      </w:r>
    </w:p>
    <w:p>
      <w:pPr>
        <w:spacing w:after="160" w:line="276"/>
        <w:jc w:val="both"/>
      </w:pPr>
      <w:r>
        <w:rPr>
          <w:rFonts w:ascii="Calibri" w:cs="Calibri" w:eastAsia="Calibri" w:hAnsi="Calibri"/>
          <w:color w:val="1A1A1A"/>
          <w:sz w:val="22"/>
          <w:szCs w:val="22"/>
        </w:rPr>
        <w:t xml:space="preserve">What exists is a high-discipline </w:t>
      </w:r>
      <w:r>
        <w:rPr>
          <w:rFonts w:ascii="Calibri" w:cs="Calibri" w:eastAsia="Calibri" w:hAnsi="Calibri"/>
          <w:i/>
          <w:iCs/>
          <w:color w:val="1A1A1A"/>
          <w:sz w:val="22"/>
          <w:szCs w:val="22"/>
        </w:rPr>
        <w:t xml:space="preserve">capability demonstrator</w:t>
      </w:r>
      <w:r>
        <w:rPr>
          <w:rFonts w:ascii="Calibri" w:cs="Calibri" w:eastAsia="Calibri" w:hAnsi="Calibri"/>
          <w:color w:val="1A1A1A"/>
          <w:sz w:val="22"/>
          <w:szCs w:val="22"/>
        </w:rPr>
        <w:t xml:space="preserve"> with the skeleton of a verification product inside it. The skeleton — plant, scenarios, scoring, evidence, gates — is the business. The skin — Monaco, wake VFX, dashboards, film — is marketing collateral. The project's current trajectory (sensor suite expansion, dashboard polish, film capture) invests in skin. The market analysis that follows explains why the skeleton is the only part with a defensible buyer.</w:t>
      </w:r>
    </w:p>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Part II — Market reality</w:t>
      </w:r>
    </w:p>
    <w:p>
      <w:pPr>
        <w:pStyle w:val="Heading2"/>
        <w:spacing w:after="120" w:before="300"/>
      </w:pPr>
      <w:r>
        <w:rPr>
          <w:rFonts w:ascii="Calibri" w:cs="Calibri" w:eastAsia="Calibri" w:hAnsi="Calibri"/>
          <w:b/>
          <w:bCs/>
          <w:color w:val="2E5496"/>
          <w:sz w:val="26"/>
          <w:szCs w:val="26"/>
        </w:rPr>
        <w:t xml:space="preserve">II.1 Headline numbers, and why to distrust them</w:t>
      </w:r>
    </w:p>
    <w:p>
      <w:pPr>
        <w:spacing w:after="160" w:line="276"/>
        <w:jc w:val="both"/>
      </w:pPr>
      <w:r>
        <w:rPr>
          <w:rFonts w:ascii="Calibri" w:cs="Calibri" w:eastAsia="Calibri" w:hAnsi="Calibri"/>
          <w:color w:val="1A1A1A"/>
          <w:sz w:val="22"/>
          <w:szCs w:val="22"/>
        </w:rPr>
        <w:t xml:space="preserve">Commercial research houses put the "autonomous ships" market at roughly $6–7B in 2025, growing to $11–13B by 2030 at a 10–13.5% CAGR [S8][S9], and the uncrewed-surface-vessel (USV) market at $0.8–2.2B in 2025–26 growing to $1.6–3.4B by 2030 at 12–14% [S10][S11][S12], with defense holding just over half of USV demand in 2024 and growing fastest [S10]. Treat all of these as directional at best. The "autonomous ships" figure is definitionally inflated: it counts navigation-assist equipment, situational-awareness retrofits, and partial automation on conventional crewed tonnage — not purchasable autonomy validation. The number that matters to you is not any of these; it is the spend on </w:t>
      </w:r>
      <w:r>
        <w:rPr>
          <w:rFonts w:ascii="Calibri" w:cs="Calibri" w:eastAsia="Calibri" w:hAnsi="Calibri"/>
          <w:i/>
          <w:iCs/>
          <w:color w:val="1A1A1A"/>
          <w:sz w:val="22"/>
          <w:szCs w:val="22"/>
        </w:rPr>
        <w:t xml:space="preserve">verification, validation, and assurance tooling for maritime autonomy</w:t>
      </w:r>
      <w:r>
        <w:rPr>
          <w:rFonts w:ascii="Calibri" w:cs="Calibri" w:eastAsia="Calibri" w:hAnsi="Calibri"/>
          <w:color w:val="1A1A1A"/>
          <w:sz w:val="22"/>
          <w:szCs w:val="22"/>
        </w:rPr>
        <w:t xml:space="preserve">, which no analyst prices separately. A bottom-up estimate is more honest: on the order of 300–500 organisations worldwide are seriously developing or operating surface autonomy today (USV OEMs, autonomy-stack vendors, research institutes, class societies, a handful of flag administrations and navies). If a tenth of them buy dedicated third-party validation tooling in the next three years at €10–100k/year, the near-term serviceable market is single-digit millions of euros per year, growing with the regulatory ratchet. That is small. It is also nearly empty of sellers at the price point you can occupy, and it sits directly upstream of a mandatory-compliance regime with dates attached (2030 adoption, 1 January 2032 entry into force [S1][S4]). Small-but-empty-and-about-to-be-mandatory is a legitimate startup wedge; "large" (the $11B headline) is a fundraising slide, not a strategy.</w:t>
      </w:r>
    </w:p>
    <w:p>
      <w:pPr>
        <w:pStyle w:val="Heading2"/>
        <w:spacing w:after="120" w:before="300"/>
      </w:pPr>
      <w:r>
        <w:rPr>
          <w:rFonts w:ascii="Calibri" w:cs="Calibri" w:eastAsia="Calibri" w:hAnsi="Calibri"/>
          <w:b/>
          <w:bCs/>
          <w:color w:val="2E5496"/>
          <w:sz w:val="26"/>
          <w:szCs w:val="26"/>
        </w:rPr>
        <w:t xml:space="preserve">II.2 Who actually pays for what today</w:t>
      </w:r>
    </w:p>
    <w:p>
      <w:pPr>
        <w:spacing w:after="160" w:line="276"/>
        <w:jc w:val="both"/>
      </w:pPr>
      <w:r>
        <w:rPr>
          <w:rFonts w:ascii="Calibri" w:cs="Calibri" w:eastAsia="Calibri" w:hAnsi="Calibri"/>
          <w:color w:val="1A1A1A"/>
          <w:sz w:val="22"/>
          <w:szCs w:val="22"/>
        </w:rPr>
        <w:t xml:space="preserve">Follow the money, segment by segment. </w:t>
      </w:r>
      <w:r>
        <w:rPr>
          <w:rFonts w:ascii="Calibri" w:cs="Calibri" w:eastAsia="Calibri" w:hAnsi="Calibri"/>
          <w:b/>
          <w:bCs/>
          <w:color w:val="1A1A1A"/>
          <w:sz w:val="22"/>
          <w:szCs w:val="22"/>
        </w:rPr>
        <w:t xml:space="preserve">Defense</w:t>
      </w:r>
      <w:r>
        <w:rPr>
          <w:rFonts w:ascii="Calibri" w:cs="Calibri" w:eastAsia="Calibri" w:hAnsi="Calibri"/>
          <w:color w:val="1A1A1A"/>
          <w:sz w:val="22"/>
          <w:szCs w:val="22"/>
        </w:rPr>
        <w:t xml:space="preserve"> is where autonomy money actually flows now — over half the USV market [S10], NATO DIANA-type programs, and the US wave (Saronic and peers) — but it buys through primes, programs, and clearances; a solo founder without an entity track record sells nothing there directly in 2026. It is a year-2+ channel, entered via grants (DIANA-class), dual-use partners (Zeabuz just expanded into defense with the ZeaFalcon USV [S17]), or subcontracts. </w:t>
      </w:r>
      <w:r>
        <w:rPr>
          <w:rFonts w:ascii="Calibri" w:cs="Calibri" w:eastAsia="Calibri" w:hAnsi="Calibri"/>
          <w:b/>
          <w:bCs/>
          <w:color w:val="1A1A1A"/>
          <w:sz w:val="22"/>
          <w:szCs w:val="22"/>
        </w:rPr>
        <w:t xml:space="preserve">USV OEMs and operators</w:t>
      </w:r>
      <w:r>
        <w:rPr>
          <w:rFonts w:ascii="Calibri" w:cs="Calibri" w:eastAsia="Calibri" w:hAnsi="Calibri"/>
          <w:color w:val="1A1A1A"/>
          <w:sz w:val="22"/>
          <w:szCs w:val="22"/>
        </w:rPr>
        <w:t xml:space="preserve"> (SEA-KIT, Zelim, ACUA Ocean, HydroSurv, Unmanned Survey Solutions, Maritime Robotics, DriX/Exail, XOcean and ~100 more in Europe alone) have real 2026 budgets, real regulatory pain (flag approvals, MCA/workboat pathways, class involvement, insurer questions), and small engineering teams that cannot afford to build simulation infrastructure. This is the most plausible first buyer, examined in Part IV. </w:t>
      </w:r>
      <w:r>
        <w:rPr>
          <w:rFonts w:ascii="Calibri" w:cs="Calibri" w:eastAsia="Calibri" w:hAnsi="Calibri"/>
          <w:b/>
          <w:bCs/>
          <w:color w:val="1A1A1A"/>
          <w:sz w:val="22"/>
          <w:szCs w:val="22"/>
        </w:rPr>
        <w:t xml:space="preserve">Autonomy-stack vendors</w:t>
      </w:r>
      <w:r>
        <w:rPr>
          <w:rFonts w:ascii="Calibri" w:cs="Calibri" w:eastAsia="Calibri" w:hAnsi="Calibri"/>
          <w:color w:val="1A1A1A"/>
          <w:sz w:val="22"/>
          <w:szCs w:val="22"/>
        </w:rPr>
        <w:t xml:space="preserve"> (Zeabuz, Robosys, Marine AI, Avikus, Orca AI's navigation line) have the acutest need — regression-testing a navigation stack demands exactly your scenario/scoring/evidence loop — but the biggest build-it-in-house reflex; they buy when the tool is credibly better than their internal harness and neutral enough to show authorities. </w:t>
      </w:r>
      <w:r>
        <w:rPr>
          <w:rFonts w:ascii="Calibri" w:cs="Calibri" w:eastAsia="Calibri" w:hAnsi="Calibri"/>
          <w:b/>
          <w:bCs/>
          <w:color w:val="1A1A1A"/>
          <w:sz w:val="22"/>
          <w:szCs w:val="22"/>
        </w:rPr>
        <w:t xml:space="preserve">Research institutes and universities</w:t>
      </w:r>
      <w:r>
        <w:rPr>
          <w:rFonts w:ascii="Calibri" w:cs="Calibri" w:eastAsia="Calibri" w:hAnsi="Calibri"/>
          <w:color w:val="1A1A1A"/>
          <w:sz w:val="22"/>
          <w:szCs w:val="22"/>
        </w:rPr>
        <w:t xml:space="preserve"> (NTNU, TU Delft, Aalto, Strathclyde, Plymouth, Genoa, KTH, DTU, WMU) pay small and slowly (grant cycles), but they confer the two assets you currently lack: citations and credibility. </w:t>
      </w:r>
      <w:r>
        <w:rPr>
          <w:rFonts w:ascii="Calibri" w:cs="Calibri" w:eastAsia="Calibri" w:hAnsi="Calibri"/>
          <w:b/>
          <w:bCs/>
          <w:color w:val="1A1A1A"/>
          <w:sz w:val="22"/>
          <w:szCs w:val="22"/>
        </w:rPr>
        <w:t xml:space="preserve">Class societies and flag states</w:t>
      </w:r>
      <w:r>
        <w:rPr>
          <w:rFonts w:ascii="Calibri" w:cs="Calibri" w:eastAsia="Calibri" w:hAnsi="Calibri"/>
          <w:color w:val="1A1A1A"/>
          <w:sz w:val="22"/>
          <w:szCs w:val="22"/>
        </w:rPr>
        <w:t xml:space="preserve"> are not customers at first — they are the </w:t>
      </w:r>
      <w:r>
        <w:rPr>
          <w:rFonts w:ascii="Calibri" w:cs="Calibri" w:eastAsia="Calibri" w:hAnsi="Calibri"/>
          <w:i/>
          <w:iCs/>
          <w:color w:val="1A1A1A"/>
          <w:sz w:val="22"/>
          <w:szCs w:val="22"/>
        </w:rPr>
        <w:t xml:space="preserve">gatekeepers</w:t>
      </w:r>
      <w:r>
        <w:rPr>
          <w:rFonts w:ascii="Calibri" w:cs="Calibri" w:eastAsia="Calibri" w:hAnsi="Calibri"/>
          <w:color w:val="1A1A1A"/>
          <w:sz w:val="22"/>
          <w:szCs w:val="22"/>
        </w:rPr>
        <w:t xml:space="preserve"> whose blessing converts your output from "nice report" to "acceptable evidence"; DNV in particular already operates its own simulation-assurance practice (RP-0513, Simulation Trust Center) [S6][S7] and sells simulation-based testing as a service, which makes it simultaneously your validator, your channel, and your most dangerous long-term competitor. </w:t>
      </w:r>
      <w:r>
        <w:rPr>
          <w:rFonts w:ascii="Calibri" w:cs="Calibri" w:eastAsia="Calibri" w:hAnsi="Calibri"/>
          <w:b/>
          <w:bCs/>
          <w:color w:val="1A1A1A"/>
          <w:sz w:val="22"/>
          <w:szCs w:val="22"/>
        </w:rPr>
        <w:t xml:space="preserve">Training academies</w:t>
      </w:r>
      <w:r>
        <w:rPr>
          <w:rFonts w:ascii="Calibri" w:cs="Calibri" w:eastAsia="Calibri" w:hAnsi="Calibri"/>
          <w:color w:val="1A1A1A"/>
          <w:sz w:val="22"/>
          <w:szCs w:val="22"/>
        </w:rPr>
        <w:t xml:space="preserve"> run the largest existing "maritime simulation" spend (STCW-mandated bridge simulators), and it is a trap for you: incumbent-owned (Kongsberg K-Sim, Wärtsilä), certification-bound, hardware-heavy, and utterly uninterested in a solo vendor. Do not confuse the existence of that spend with its availability.</w:t>
      </w:r>
    </w:p>
    <w:p>
      <w:pPr>
        <w:pStyle w:val="Heading2"/>
        <w:spacing w:after="120" w:before="300"/>
      </w:pPr>
      <w:r>
        <w:rPr>
          <w:rFonts w:ascii="Calibri" w:cs="Calibri" w:eastAsia="Calibri" w:hAnsi="Calibri"/>
          <w:b/>
          <w:bCs/>
          <w:color w:val="2E5496"/>
          <w:sz w:val="26"/>
          <w:szCs w:val="26"/>
        </w:rPr>
        <w:t xml:space="preserve">II.3 The competitive field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16"/>
        <w:gridCol w:w="1697"/>
        <w:gridCol w:w="1576"/>
        <w:gridCol w:w="1455"/>
        <w:gridCol w:w="1576"/>
      </w:tblGrid>
      <w:tr>
        <w:trPr>
          <w:tblHeader/>
        </w:trPr>
        <w:tc>
          <w:tcPr>
            <w:tcW w:type="dxa" w:w="2716"/>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Player / class</w:t>
            </w:r>
          </w:p>
        </w:tc>
        <w:tc>
          <w:tcPr>
            <w:tcW w:type="dxa" w:w="1697"/>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What they sell</w:t>
            </w:r>
          </w:p>
        </w:tc>
        <w:tc>
          <w:tcPr>
            <w:tcW w:type="dxa" w:w="1576"/>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Physics basis</w:t>
            </w:r>
          </w:p>
        </w:tc>
        <w:tc>
          <w:tcPr>
            <w:tcW w:type="dxa" w:w="1455"/>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Price/access</w:t>
            </w:r>
          </w:p>
        </w:tc>
        <w:tc>
          <w:tcPr>
            <w:tcW w:type="dxa" w:w="1576"/>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Threat to you</w:t>
            </w:r>
          </w:p>
        </w:tc>
      </w:tr>
      <w:tr>
        <w:trPr>
          <w:tblHeader w:val="false"/>
        </w:trPr>
        <w:tc>
          <w:tcPr>
            <w:tcW w:type="dxa" w:w="271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Kongsberg K-Sim, Wärtsilä sims</w:t>
            </w:r>
          </w:p>
        </w:tc>
        <w:tc>
          <w:tcPr>
            <w:tcW w:type="dxa" w:w="169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Training + R&amp;D simulators, incl. autonomy test use [S13]</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Proprietary, tank-validated vessel models</w:t>
            </w:r>
          </w:p>
        </w:tc>
        <w:tc>
          <w:tcPr>
            <w:tcW w:type="dxa" w:w="1455"/>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€100k–M+, enterprise sales</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Own the high end and the training market; slow, not evidence-pack-shaped</w:t>
            </w:r>
          </w:p>
        </w:tc>
      </w:tr>
      <w:tr>
        <w:trPr>
          <w:tblHeader w:val="false"/>
        </w:trPr>
        <w:tc>
          <w:tcPr>
            <w:tcW w:type="dxa" w:w="271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Applied Intuition (+EpiSci)</w:t>
            </w:r>
          </w:p>
        </w:tc>
        <w:tc>
          <w:tcPr>
            <w:tcW w:type="dxa" w:w="169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AV-grade simulation, validation, data tooling; now all-domain defense autonomy incl. maritime [S14][S15]</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Automotive heritage; maritime physics unproven</w:t>
            </w:r>
          </w:p>
        </w:tc>
        <w:tc>
          <w:tcPr>
            <w:tcW w:type="dxa" w:w="1455"/>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Seat licenses, $15B-valuation enterprise pricing [S16]</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Closes the defense/enterprise top of the market; structurally unlikely to serve €10k customers</w:t>
            </w:r>
          </w:p>
        </w:tc>
      </w:tr>
      <w:tr>
        <w:trPr>
          <w:tblHeader w:val="false"/>
        </w:trPr>
        <w:tc>
          <w:tcPr>
            <w:tcW w:type="dxa" w:w="271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AILiveSim</w:t>
            </w:r>
          </w:p>
        </w:tc>
        <w:tc>
          <w:tcPr>
            <w:tcW w:type="dxa" w:w="169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UE-based maritime sim for autonomy/AI (Helsinki) [S13]</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Proprietary dynamics</w:t>
            </w:r>
          </w:p>
        </w:tc>
        <w:tc>
          <w:tcPr>
            <w:tcW w:type="dxa" w:w="1455"/>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Commercial license</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Closest commercial analog; several years head start on you</w:t>
            </w:r>
          </w:p>
        </w:tc>
      </w:tr>
      <w:tr>
        <w:trPr>
          <w:tblHeader w:val="false"/>
        </w:trPr>
        <w:tc>
          <w:tcPr>
            <w:tcW w:type="dxa" w:w="271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MARIN, FORCE, class societies</w:t>
            </w:r>
          </w:p>
        </w:tc>
        <w:tc>
          <w:tcPr>
            <w:tcW w:type="dxa" w:w="169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Study contracts, simulator centres, assurance services [S6][S7]</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Tank-grade, the gold standard</w:t>
            </w:r>
          </w:p>
        </w:tc>
        <w:tc>
          <w:tcPr>
            <w:tcW w:type="dxa" w:w="1455"/>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Consulting engagements</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Own bespoke high-credibility work; too expensive for iterative dev use</w:t>
            </w:r>
          </w:p>
        </w:tc>
      </w:tr>
      <w:tr>
        <w:trPr>
          <w:tblHeader w:val="false"/>
        </w:trPr>
        <w:tc>
          <w:tcPr>
            <w:tcW w:type="dxa" w:w="271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Open source: Gazebo/VRX, HoloOcean, Stonefish, MARUS, UNav-Sim, ASVSim [S18][S19]</w:t>
            </w:r>
          </w:p>
        </w:tc>
        <w:tc>
          <w:tcPr>
            <w:tcW w:type="dxa" w:w="169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Free research simulators, ROS-native</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Simplified (VRX 3-DOF; most lack coupled fluid response [S19])</w:t>
            </w:r>
          </w:p>
        </w:tc>
        <w:tc>
          <w:tcPr>
            <w:tcW w:type="dxa" w:w="1455"/>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Free</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Sets the price floor at zero for research; no evidence/regulatory layer — your differentiation</w:t>
            </w:r>
          </w:p>
        </w:tc>
      </w:tr>
      <w:tr>
        <w:trPr>
          <w:tblHeader w:val="false"/>
        </w:trPr>
        <w:tc>
          <w:tcPr>
            <w:tcW w:type="dxa" w:w="271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Academic pipelines</w:t>
            </w:r>
          </w:p>
        </w:tc>
        <w:tc>
          <w:tcPr>
            <w:tcW w:type="dxa" w:w="169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Papers now demo "traceable virtual sea trials," scenario generation, COLREGS testing [S20][S21][S22]</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Varies</w:t>
            </w:r>
          </w:p>
        </w:tc>
        <w:tc>
          <w:tcPr>
            <w:tcW w:type="dxa" w:w="1455"/>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Free/preprint</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Converging on your exact concept; a funded lab could out-publish you</w:t>
            </w:r>
          </w:p>
        </w:tc>
      </w:tr>
      <w:tr>
        <w:trPr>
          <w:tblHeader w:val="false"/>
        </w:trPr>
        <w:tc>
          <w:tcPr>
            <w:tcW w:type="dxa" w:w="271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In-house harnesses</w:t>
            </w:r>
          </w:p>
        </w:tc>
        <w:tc>
          <w:tcPr>
            <w:tcW w:type="dxa" w:w="169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Every autonomy vendor's internal scripts</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Their own vessel data</w:t>
            </w:r>
          </w:p>
        </w:tc>
        <w:tc>
          <w:tcPr>
            <w:tcW w:type="dxa" w:w="1455"/>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Sunk cost</w:t>
            </w:r>
          </w:p>
        </w:tc>
        <w:tc>
          <w:tcPr>
            <w:tcW w:type="dxa" w:w="157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The real default competitor for your first customer</w:t>
            </w:r>
          </w:p>
        </w:tc>
      </w:tr>
    </w:tbl>
    <w:p>
      <w:pPr>
        <w:spacing w:after="120"/>
      </w:pPr>
    </w:p>
    <w:p>
      <w:pPr>
        <w:spacing w:after="160" w:line="276"/>
        <w:jc w:val="both"/>
      </w:pPr>
      <w:r>
        <w:rPr>
          <w:rFonts w:ascii="Calibri" w:cs="Calibri" w:eastAsia="Calibri" w:hAnsi="Calibri"/>
          <w:color w:val="1A1A1A"/>
          <w:sz w:val="22"/>
          <w:szCs w:val="22"/>
        </w:rPr>
        <w:t xml:space="preserve">Two readings of this table matter. First, the quadrant "affordable + regulation-mapped + evidence-first" is genuinely empty: incumbents are too expensive and not evidence-shaped, open source has no regulatory or evidence layer, Applied Intuition will not price for SMEs, and academia does not productize. Second, the moats around that quadrant are time-limited: the ACM and arXiv record already shows scenario-based COLREGS verification and traceable virtual sea trials emerging from research groups [S20][S21][S22], and DNV's own R&amp;D explicitly proposes large-scale simulation-based testing of autonomous ships via digital twins [S7]. Your window to occupy the quadrant with a </w:t>
      </w:r>
      <w:r>
        <w:rPr>
          <w:rFonts w:ascii="Calibri" w:cs="Calibri" w:eastAsia="Calibri" w:hAnsi="Calibri"/>
          <w:i/>
          <w:iCs/>
          <w:color w:val="1A1A1A"/>
          <w:sz w:val="22"/>
          <w:szCs w:val="22"/>
        </w:rPr>
        <w:t xml:space="preserve">named, cited, class-acknowledged</w:t>
      </w:r>
      <w:r>
        <w:rPr>
          <w:rFonts w:ascii="Calibri" w:cs="Calibri" w:eastAsia="Calibri" w:hAnsi="Calibri"/>
          <w:color w:val="1A1A1A"/>
          <w:sz w:val="22"/>
          <w:szCs w:val="22"/>
        </w:rPr>
        <w:t xml:space="preserve"> product is roughly the Experience-Building Phase runway — call it 24–36 months.</w:t>
      </w:r>
    </w:p>
    <w:p>
      <w:pPr>
        <w:pStyle w:val="Heading2"/>
        <w:spacing w:after="120" w:before="300"/>
      </w:pPr>
      <w:r>
        <w:rPr>
          <w:rFonts w:ascii="Calibri" w:cs="Calibri" w:eastAsia="Calibri" w:hAnsi="Calibri"/>
          <w:b/>
          <w:bCs/>
          <w:color w:val="2E5496"/>
          <w:sz w:val="26"/>
          <w:szCs w:val="26"/>
        </w:rPr>
        <w:t xml:space="preserve">II.4 Structural truths of selling into maritime</w:t>
      </w:r>
    </w:p>
    <w:p>
      <w:pPr>
        <w:spacing w:after="160" w:line="276"/>
        <w:jc w:val="both"/>
      </w:pPr>
      <w:r>
        <w:rPr>
          <w:rFonts w:ascii="Calibri" w:cs="Calibri" w:eastAsia="Calibri" w:hAnsi="Calibri"/>
          <w:color w:val="1A1A1A"/>
          <w:sz w:val="22"/>
          <w:szCs w:val="22"/>
        </w:rPr>
        <w:t xml:space="preserve">Maritime software sales cycles run 6–18 months even for SMEs; conservative buyers reference-check within a small, gossip-dense industry; consortium projects (Horizon Europe, Eurostars, national programs) are how research-adjacent tooling actually gets funded in the EU; conferences and class-society endorsements function as the industry's app store. Three consequences: (1) revenue in calendar 2026 comes only from design-partner pilots priced as services, not from self-serve licenses; (2) one lighthouse customer plus one class-society artifact (an Approval in Principle or equivalent statement on your </w:t>
      </w:r>
      <w:r>
        <w:rPr>
          <w:rFonts w:ascii="Calibri" w:cs="Calibri" w:eastAsia="Calibri" w:hAnsi="Calibri"/>
          <w:i/>
          <w:iCs/>
          <w:color w:val="1A1A1A"/>
          <w:sz w:val="22"/>
          <w:szCs w:val="22"/>
        </w:rPr>
        <w:t xml:space="preserve">methodology</w:t>
      </w:r>
      <w:r>
        <w:rPr>
          <w:rFonts w:ascii="Calibri" w:cs="Calibri" w:eastAsia="Calibri" w:hAnsi="Calibri"/>
          <w:color w:val="1A1A1A"/>
          <w:sz w:val="22"/>
          <w:szCs w:val="22"/>
        </w:rPr>
        <w:t xml:space="preserve">) is worth more than any feature; (3) the grant channel (Eurostars 10 September, Epic MegaGrants for UE projects, NVIDIA Inception, future DIANA calls) is not optional financing garnish — for a bootstrapped solo founder it is the bridge that makes the 24–36-month window survivable. The DIANA deadline that passed on 3 July with no confirmed submission was, on this analysis, the single most expensive non-event of your year so far.</w:t>
      </w:r>
    </w:p>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Part III — The evaluator's critique: fifteen flaws and wrong assumptions</w:t>
      </w:r>
    </w:p>
    <w:p>
      <w:pPr>
        <w:spacing w:after="160" w:line="276"/>
        <w:jc w:val="both"/>
      </w:pPr>
      <w:r>
        <w:rPr>
          <w:rFonts w:ascii="Calibri" w:cs="Calibri" w:eastAsia="Calibri" w:hAnsi="Calibri"/>
          <w:color w:val="1A1A1A"/>
          <w:sz w:val="22"/>
          <w:szCs w:val="22"/>
        </w:rPr>
        <w:t xml:space="preserve">Having reviewed a very large number of technical-founder projects, I can tell you the pattern yours matches: </w:t>
      </w:r>
      <w:r>
        <w:rPr>
          <w:rFonts w:ascii="Calibri" w:cs="Calibri" w:eastAsia="Calibri" w:hAnsi="Calibri"/>
          <w:i/>
          <w:iCs/>
          <w:color w:val="1A1A1A"/>
          <w:sz w:val="22"/>
          <w:szCs w:val="22"/>
        </w:rPr>
        <w:t xml:space="preserve">instrument built before question asked</w:t>
      </w:r>
      <w:r>
        <w:rPr>
          <w:rFonts w:ascii="Calibri" w:cs="Calibri" w:eastAsia="Calibri" w:hAnsi="Calibri"/>
          <w:color w:val="1A1A1A"/>
          <w:sz w:val="22"/>
          <w:szCs w:val="22"/>
        </w:rPr>
        <w:t xml:space="preserve">. It is among the more survivable patterns — far better than "no instrument" — but only if the founder accepts that the remaining work is mostly not engineering. Each flaw below states the implicit assumption, the evidence against it, the consequence if uncorrected, and the correction. They are ordered roughly by lethality.</w:t>
      </w:r>
    </w:p>
    <w:p>
      <w:pPr>
        <w:pStyle w:val="Heading3"/>
        <w:spacing w:after="100" w:before="240"/>
      </w:pPr>
      <w:r>
        <w:rPr>
          <w:rFonts w:ascii="Calibri" w:cs="Calibri" w:eastAsia="Calibri" w:hAnsi="Calibri"/>
          <w:b/>
          <w:bCs/>
          <w:color w:val="3B3B3B"/>
          <w:sz w:val="23"/>
          <w:szCs w:val="23"/>
        </w:rPr>
        <w:t xml:space="preserve">F1 — No problem owner (admitted, but not yet priced)</w:t>
      </w:r>
    </w:p>
    <w:p>
      <w:pPr>
        <w:spacing w:after="160" w:line="276"/>
        <w:jc w:val="both"/>
      </w:pPr>
      <w:r>
        <w:rPr>
          <w:rFonts w:ascii="Calibri" w:cs="Calibri" w:eastAsia="Calibri" w:hAnsi="Calibri"/>
          <w:color w:val="1A1A1A"/>
          <w:sz w:val="22"/>
          <w:szCs w:val="22"/>
        </w:rPr>
        <w:t xml:space="preserve">You state it yourself: the product does not solve a particular problem. The implicit assumption is that a sufficiently good simulator will find its problem. It will not; in B2B, problems find tools only when the tool is placed in front of the person whose week it saves. Consequence: every engineering decision to date (Monaco, yacht, wake VFX, dashboard) is unfalsified by any user, and some are already wrong for every plausible buyer. Correction: Part IV names the problem owner (small-vessel autonomy teams needing regulatory-shaped verification evidence) and Part XI forces twenty-five discovery conversations before further feature work. Until ten of those conversations have happened, you do not have a product thesis; you have a hypothesis with excellent production values.</w:t>
      </w:r>
    </w:p>
    <w:p>
      <w:pPr>
        <w:pStyle w:val="Heading3"/>
        <w:spacing w:after="100" w:before="240"/>
      </w:pPr>
      <w:r>
        <w:rPr>
          <w:rFonts w:ascii="Calibri" w:cs="Calibri" w:eastAsia="Calibri" w:hAnsi="Calibri"/>
          <w:b/>
          <w:bCs/>
          <w:color w:val="3B3B3B"/>
          <w:sz w:val="23"/>
          <w:szCs w:val="23"/>
        </w:rPr>
        <w:t xml:space="preserve">F2 — "Platform" is a stage, not a starting point</w:t>
      </w:r>
    </w:p>
    <w:p>
      <w:pPr>
        <w:spacing w:after="160" w:line="276"/>
        <w:jc w:val="both"/>
      </w:pPr>
      <w:r>
        <w:rPr>
          <w:rFonts w:ascii="Calibri" w:cs="Calibri" w:eastAsia="Calibri" w:hAnsi="Calibri"/>
          <w:color w:val="1A1A1A"/>
          <w:sz w:val="22"/>
          <w:szCs w:val="22"/>
        </w:rPr>
        <w:t xml:space="preserve">The ambition — a multi-user platform where users share vital research information — assumes platforms can be founded. They cannot; they are earned by products that win one workflow so hard that others build around it (the launch strategy's own §7 examples show this, and then the plan drifts back to platform language). Consequence: effort leaks into multi-user, sharing, and generality before a single user exists. Correction: for the next twelve months the word "platform" is banned from planning documents. You are building an instrument for one workflow: autonomy stack in, scored evidence out.</w:t>
      </w:r>
    </w:p>
    <w:p>
      <w:pPr>
        <w:pStyle w:val="Heading3"/>
        <w:spacing w:after="100" w:before="240"/>
      </w:pPr>
      <w:r>
        <w:rPr>
          <w:rFonts w:ascii="Calibri" w:cs="Calibri" w:eastAsia="Calibri" w:hAnsi="Calibri"/>
          <w:b/>
          <w:bCs/>
          <w:color w:val="3B3B3B"/>
          <w:sz w:val="23"/>
          <w:szCs w:val="23"/>
        </w:rPr>
        <w:t xml:space="preserve">F3 — The claimed moat (validated physics) does not exist yet</w:t>
      </w:r>
    </w:p>
    <w:p>
      <w:pPr>
        <w:spacing w:after="160" w:line="276"/>
        <w:jc w:val="both"/>
      </w:pPr>
      <w:r>
        <w:rPr>
          <w:rFonts w:ascii="Calibri" w:cs="Calibri" w:eastAsia="Calibri" w:hAnsi="Calibri"/>
          <w:color w:val="1A1A1A"/>
          <w:sz w:val="22"/>
          <w:szCs w:val="22"/>
        </w:rPr>
        <w:t xml:space="preserve">The strategy documents call CFD-validated physics the number-one moat. Your own records show the CFD campaign pending (geometry fix incomplete, runs not started) and the marketing claim already once corrected (KI-019). The assumption that "we will have it soon" can be treated as "we have it" is the most dangerous single habit in deep-tech founding, because the industry you are entering runs on verification and will check. Consequence if uncorrected: one class society engineer or one professor asks for the validation report, and your credibility — the entire product, in an evidence business — is gone. Correction: the moat must be </w:t>
      </w:r>
      <w:r>
        <w:rPr>
          <w:rFonts w:ascii="Calibri" w:cs="Calibri" w:eastAsia="Calibri" w:hAnsi="Calibri"/>
          <w:i/>
          <w:iCs/>
          <w:color w:val="1A1A1A"/>
          <w:sz w:val="22"/>
          <w:szCs w:val="22"/>
        </w:rPr>
        <w:t xml:space="preserve">demonstrated</w:t>
      </w:r>
      <w:r>
        <w:rPr>
          <w:rFonts w:ascii="Calibri" w:cs="Calibri" w:eastAsia="Calibri" w:hAnsi="Calibri"/>
          <w:color w:val="1A1A1A"/>
          <w:sz w:val="22"/>
          <w:szCs w:val="22"/>
        </w:rPr>
        <w:t xml:space="preserve"> on public benchmark hulls (Part IX) before it is </w:t>
      </w:r>
      <w:r>
        <w:rPr>
          <w:rFonts w:ascii="Calibri" w:cs="Calibri" w:eastAsia="Calibri" w:hAnsi="Calibri"/>
          <w:i/>
          <w:iCs/>
          <w:color w:val="1A1A1A"/>
          <w:sz w:val="22"/>
          <w:szCs w:val="22"/>
        </w:rPr>
        <w:t xml:space="preserve">claimed</w:t>
      </w:r>
      <w:r>
        <w:rPr>
          <w:rFonts w:ascii="Calibri" w:cs="Calibri" w:eastAsia="Calibri" w:hAnsi="Calibri"/>
          <w:color w:val="1A1A1A"/>
          <w:sz w:val="22"/>
          <w:szCs w:val="22"/>
        </w:rPr>
        <w:t xml:space="preserve"> on DOLPHIN; until then, all copy says "standard-method MMG dynamics; validation campaign in progress, method published."</w:t>
      </w:r>
    </w:p>
    <w:p>
      <w:pPr>
        <w:pStyle w:val="Heading3"/>
        <w:spacing w:after="100" w:before="240"/>
      </w:pPr>
      <w:r>
        <w:rPr>
          <w:rFonts w:ascii="Calibri" w:cs="Calibri" w:eastAsia="Calibri" w:hAnsi="Calibri"/>
          <w:b/>
          <w:bCs/>
          <w:color w:val="3B3B3B"/>
          <w:sz w:val="23"/>
          <w:szCs w:val="23"/>
        </w:rPr>
        <w:t xml:space="preserve">F4 — The yacht is the wrong hull, and you may not own it</w:t>
      </w:r>
    </w:p>
    <w:p>
      <w:pPr>
        <w:spacing w:after="160" w:line="276"/>
        <w:jc w:val="both"/>
      </w:pPr>
      <w:r>
        <w:rPr>
          <w:rFonts w:ascii="Calibri" w:cs="Calibri" w:eastAsia="Calibri" w:hAnsi="Calibri"/>
          <w:color w:val="1A1A1A"/>
          <w:sz w:val="22"/>
          <w:szCs w:val="22"/>
        </w:rPr>
        <w:t xml:space="preserve">All physics centres on a yacht designed by your ship-design group. No paying segment validates autonomous yachts: USV developers run 5–25 m workboat-class hulls; ferries, tugs, and survey vessels dominate the civil autonomy docket; defense wants patrol-class hulls. Worse, the hull geometry and lines plan were produced by a group — under a university program — so your rights to commercialize derivatives (the coefficients, the mesh, marketing imagery) are undocumented. Consequence: your only validated (someday) vessel is unsellable evidence, and a diligence process or an aggrieved co-author could freeze your core asset. Correction: (a) get written IP clarity from the group and the university now, while relations are good (Part X); (b) make the </w:t>
      </w:r>
      <w:r>
        <w:rPr>
          <w:rFonts w:ascii="Calibri" w:cs="Calibri" w:eastAsia="Calibri" w:hAnsi="Calibri"/>
          <w:i/>
          <w:iCs/>
          <w:color w:val="1A1A1A"/>
          <w:sz w:val="22"/>
          <w:szCs w:val="22"/>
        </w:rPr>
        <w:t xml:space="preserve">vessel-model interface</w:t>
      </w:r>
      <w:r>
        <w:rPr>
          <w:rFonts w:ascii="Calibri" w:cs="Calibri" w:eastAsia="Calibri" w:hAnsi="Calibri"/>
          <w:color w:val="1A1A1A"/>
          <w:sz w:val="22"/>
          <w:szCs w:val="22"/>
        </w:rPr>
        <w:t xml:space="preserve"> the asset instead — a documented pipeline that takes any hull's coefficients (customer-supplied, literature, or your CFD service) into the plant. The DOLPHIN becomes the worked example, not the product.</w:t>
      </w:r>
    </w:p>
    <w:p>
      <w:pPr>
        <w:pStyle w:val="Heading3"/>
        <w:spacing w:after="100" w:before="240"/>
      </w:pPr>
      <w:r>
        <w:rPr>
          <w:rFonts w:ascii="Calibri" w:cs="Calibri" w:eastAsia="Calibri" w:hAnsi="Calibri"/>
          <w:b/>
          <w:bCs/>
          <w:color w:val="3B3B3B"/>
          <w:sz w:val="23"/>
          <w:szCs w:val="23"/>
        </w:rPr>
        <w:t xml:space="preserve">F5 — Photorealism is a demo asset masquerading as a product asset</w:t>
      </w:r>
    </w:p>
    <w:p>
      <w:pPr>
        <w:spacing w:after="160" w:line="276"/>
        <w:jc w:val="both"/>
      </w:pPr>
      <w:r>
        <w:rPr>
          <w:rFonts w:ascii="Calibri" w:cs="Calibri" w:eastAsia="Calibri" w:hAnsi="Calibri"/>
          <w:color w:val="1A1A1A"/>
          <w:sz w:val="22"/>
          <w:szCs w:val="22"/>
        </w:rPr>
        <w:t xml:space="preserve">Monaco at 40 fps with Cesium tiles is genuinely good marketing. The assumption that it is </w:t>
      </w:r>
      <w:r>
        <w:rPr>
          <w:rFonts w:ascii="Calibri" w:cs="Calibri" w:eastAsia="Calibri" w:hAnsi="Calibri"/>
          <w:i/>
          <w:iCs/>
          <w:color w:val="1A1A1A"/>
          <w:sz w:val="22"/>
          <w:szCs w:val="22"/>
        </w:rPr>
        <w:t xml:space="preserve">product</w:t>
      </w:r>
      <w:r>
        <w:rPr>
          <w:rFonts w:ascii="Calibri" w:cs="Calibri" w:eastAsia="Calibri" w:hAnsi="Calibri"/>
          <w:color w:val="1A1A1A"/>
          <w:sz w:val="22"/>
          <w:szCs w:val="22"/>
        </w:rPr>
        <w:t xml:space="preserve"> fails on three counts: validation buyers need statistical scenario coverage at 1000× real-time headless, not beauty at 40 fps; the rendering pipeline contributes nothing to control-loop evidence; and camera-domain realism claims (the one place rendering matters) require paired real/synthetic validation you have not started. There is also an unexamined licensing question: commercial use and redistribution terms for Cesium ion and photorealistic 3D tile sources must be verified before any paid demo (Part X). Consequence: GPU-bound architecture decisions and polish time spent on the layer with the least buyer value. Correction: headless-first architecture (Part VIII); the renderer becomes an optional tier for stakeholder demos and future perception work.</w:t>
      </w:r>
    </w:p>
    <w:p>
      <w:pPr>
        <w:pStyle w:val="Heading3"/>
        <w:spacing w:after="100" w:before="240"/>
      </w:pPr>
      <w:r>
        <w:rPr>
          <w:rFonts w:ascii="Calibri" w:cs="Calibri" w:eastAsia="Calibri" w:hAnsi="Calibri"/>
          <w:b/>
          <w:bCs/>
          <w:color w:val="3B3B3B"/>
          <w:sz w:val="23"/>
          <w:szCs w:val="23"/>
        </w:rPr>
        <w:t xml:space="preserve">F6 — Zero market contact, five weeks tracked</w:t>
      </w:r>
    </w:p>
    <w:p>
      <w:pPr>
        <w:spacing w:after="160" w:line="276"/>
        <w:jc w:val="both"/>
      </w:pPr>
      <w:r>
        <w:rPr>
          <w:rFonts w:ascii="Calibri" w:cs="Calibri" w:eastAsia="Calibri" w:hAnsi="Calibri"/>
          <w:color w:val="1A1A1A"/>
          <w:sz w:val="22"/>
          <w:szCs w:val="22"/>
        </w:rPr>
        <w:t xml:space="preserve">The GTM ledger is unambiguous: warm contacts 0/10 across four consecutive sessions; no domain or handle confirmed; audience 0; proposals 0; grants confirmed submitted 0; DIANA deadline passed unconfirmed [project records]. The implicit assumption — "after the demo is ready, I will do outreach" — is the classic technical-founder deferral, and the demo date itself then slipped. Consequence: you are twelve months from learning things a phone call teaches in a week; competitors converging on the niche (F15) do not wait. Correction: Part XI inverts the ratio — market actions become the gating "packets" and engineering becomes the slack variable. You have proven you execute packet systems; the fix is to point the system at the market.</w:t>
      </w:r>
    </w:p>
    <w:p>
      <w:pPr>
        <w:pStyle w:val="Heading3"/>
        <w:spacing w:after="100" w:before="240"/>
      </w:pPr>
      <w:r>
        <w:rPr>
          <w:rFonts w:ascii="Calibri" w:cs="Calibri" w:eastAsia="Calibri" w:hAnsi="Calibri"/>
          <w:b/>
          <w:bCs/>
          <w:color w:val="3B3B3B"/>
          <w:sz w:val="23"/>
          <w:szCs w:val="23"/>
        </w:rPr>
        <w:t xml:space="preserve">F7 — Capacity is over-allocated and the schedule already shows it</w:t>
      </w:r>
    </w:p>
    <w:p>
      <w:pPr>
        <w:spacing w:after="160" w:line="276"/>
        <w:jc w:val="both"/>
      </w:pPr>
      <w:r>
        <w:rPr>
          <w:rFonts w:ascii="Calibri" w:cs="Calibri" w:eastAsia="Calibri" w:hAnsi="Calibri"/>
          <w:color w:val="1A1A1A"/>
          <w:sz w:val="22"/>
          <w:szCs w:val="22"/>
        </w:rPr>
        <w:t xml:space="preserve">A part-time solo founder scheduled a demo, a soft launch, a grant submission, a sensor-suite expansion, and a dashboard build into the same five weeks. The demo slipped, the launch date passed empty-handed, the grant window closed, and — tellingly — the sensor suite and dashboard (the postponable items) advanced. The assumption that engineering velocity substitutes for prioritization is disproven by your own excellent records. Correction: one priority per week, market-first; a standing "stop-doing" list (Part XI) that currently includes LiDAR/sonar, dashboard polish, new ports, and any further sensor work beyond the demo film.</w:t>
      </w:r>
    </w:p>
    <w:p>
      <w:pPr>
        <w:pStyle w:val="Heading3"/>
        <w:spacing w:after="100" w:before="240"/>
      </w:pPr>
      <w:r>
        <w:rPr>
          <w:rFonts w:ascii="Calibri" w:cs="Calibri" w:eastAsia="Calibri" w:hAnsi="Calibri"/>
          <w:b/>
          <w:bCs/>
          <w:color w:val="3B3B3B"/>
          <w:sz w:val="23"/>
          <w:szCs w:val="23"/>
        </w:rPr>
        <w:t xml:space="preserve">F8 — The data-sharing vision assumes away the industry's behavior</w:t>
      </w:r>
    </w:p>
    <w:p>
      <w:pPr>
        <w:spacing w:after="160" w:line="276"/>
        <w:jc w:val="both"/>
      </w:pPr>
      <w:r>
        <w:rPr>
          <w:rFonts w:ascii="Calibri" w:cs="Calibri" w:eastAsia="Calibri" w:hAnsi="Calibri"/>
          <w:color w:val="1A1A1A"/>
          <w:sz w:val="22"/>
          <w:szCs w:val="22"/>
        </w:rPr>
        <w:t xml:space="preserve">"Users share vital information for development of research" collides with maritime reality: operational data is competitively sensitive, AIS-derived datasets carry licensing and (for identifiable crew/passengers) GDPR constraints, and two decades of maritime data-sharing initiatives have under-delivered without a forcing function. Researchers share when publishing; companies share when regulation or procurement forces it. Consequence: a sharing-platform roadmap built on goodwill will host an empty forum. Correction: the one data asset with a natural forcing function is </w:t>
      </w:r>
      <w:r>
        <w:rPr>
          <w:rFonts w:ascii="Calibri" w:cs="Calibri" w:eastAsia="Calibri" w:hAnsi="Calibri"/>
          <w:i/>
          <w:iCs/>
          <w:color w:val="1A1A1A"/>
          <w:sz w:val="22"/>
          <w:szCs w:val="22"/>
        </w:rPr>
        <w:t xml:space="preserve">validation evidence itself</w:t>
      </w:r>
      <w:r>
        <w:rPr>
          <w:rFonts w:ascii="Calibri" w:cs="Calibri" w:eastAsia="Calibri" w:hAnsi="Calibri"/>
          <w:color w:val="1A1A1A"/>
          <w:sz w:val="22"/>
          <w:szCs w:val="22"/>
        </w:rPr>
        <w:t xml:space="preserve"> — an opt-in, anonymized registry of sim-vs-real residuals and benchmark scores that makes each participant's evidence more credible because it is comparable (Part VI/VII). The IMO Experience-Building Phase, which is explicitly about collecting MASS operational data and data formats [S1][S3], is the regulatory tailwind for exactly this and no other sharing concept.</w:t>
      </w:r>
    </w:p>
    <w:p>
      <w:pPr>
        <w:pStyle w:val="Heading3"/>
        <w:spacing w:after="100" w:before="240"/>
      </w:pPr>
      <w:r>
        <w:rPr>
          <w:rFonts w:ascii="Calibri" w:cs="Calibri" w:eastAsia="Calibri" w:hAnsi="Calibri"/>
          <w:b/>
          <w:bCs/>
          <w:color w:val="3B3B3B"/>
          <w:sz w:val="23"/>
          <w:szCs w:val="23"/>
        </w:rPr>
        <w:t xml:space="preserve">F9 — Open-core is a strategy with unexamined failure modes here</w:t>
      </w:r>
    </w:p>
    <w:p>
      <w:pPr>
        <w:spacing w:after="160" w:line="276"/>
        <w:jc w:val="both"/>
      </w:pPr>
      <w:r>
        <w:rPr>
          <w:rFonts w:ascii="Calibri" w:cs="Calibri" w:eastAsia="Calibri" w:hAnsi="Calibri"/>
          <w:color w:val="1A1A1A"/>
          <w:sz w:val="22"/>
          <w:szCs w:val="22"/>
        </w:rPr>
        <w:t xml:space="preserve">The plan assumes open-core generates adoption that converts to Pro/Lab revenue. In maritime research, the free tier will be adopted enthusiastically by the only segment that might have paid (labs), while companies — your actual revenue — care about support, credibility, and evidence acceptance, not source access. Open-core also imposes real costs on a solo founder: issue triage, docs, community, licence-boundary engineering (your M9). Consequence: you could win 500 GitHub stars and zero euros. Correction: open-core stays, but inverted — open the </w:t>
      </w:r>
      <w:r>
        <w:rPr>
          <w:rFonts w:ascii="Calibri" w:cs="Calibri" w:eastAsia="Calibri" w:hAnsi="Calibri"/>
          <w:i/>
          <w:iCs/>
          <w:color w:val="1A1A1A"/>
          <w:sz w:val="22"/>
          <w:szCs w:val="22"/>
        </w:rPr>
        <w:t xml:space="preserve">formats and scoring</w:t>
      </w:r>
      <w:r>
        <w:rPr>
          <w:rFonts w:ascii="Calibri" w:cs="Calibri" w:eastAsia="Calibri" w:hAnsi="Calibri"/>
          <w:color w:val="1A1A1A"/>
          <w:sz w:val="22"/>
          <w:szCs w:val="22"/>
        </w:rPr>
        <w:t xml:space="preserve"> (schema, scenario spec, COLREGS scorer, benchmark set) to seed standardization (Part VII), and keep the </w:t>
      </w:r>
      <w:r>
        <w:rPr>
          <w:rFonts w:ascii="Calibri" w:cs="Calibri" w:eastAsia="Calibri" w:hAnsi="Calibri"/>
          <w:i/>
          <w:iCs/>
          <w:color w:val="1A1A1A"/>
          <w:sz w:val="22"/>
          <w:szCs w:val="22"/>
        </w:rPr>
        <w:t xml:space="preserve">runners, vessel pipeline, evidence generator, and support</w:t>
      </w:r>
      <w:r>
        <w:rPr>
          <w:rFonts w:ascii="Calibri" w:cs="Calibri" w:eastAsia="Calibri" w:hAnsi="Calibri"/>
          <w:color w:val="1A1A1A"/>
          <w:sz w:val="22"/>
          <w:szCs w:val="22"/>
        </w:rPr>
        <w:t xml:space="preserve"> commercial from day one. Source-available-for-pilots beats fully-open-everything for the first year.</w:t>
      </w:r>
    </w:p>
    <w:p>
      <w:pPr>
        <w:pStyle w:val="Heading3"/>
        <w:spacing w:after="100" w:before="240"/>
      </w:pPr>
      <w:r>
        <w:rPr>
          <w:rFonts w:ascii="Calibri" w:cs="Calibri" w:eastAsia="Calibri" w:hAnsi="Calibri"/>
          <w:b/>
          <w:bCs/>
          <w:color w:val="3B3B3B"/>
          <w:sz w:val="23"/>
          <w:szCs w:val="23"/>
        </w:rPr>
        <w:t xml:space="preserve">F10 — The academic gravity well</w:t>
      </w:r>
    </w:p>
    <w:p>
      <w:pPr>
        <w:spacing w:after="160" w:line="276"/>
        <w:jc w:val="both"/>
      </w:pPr>
      <w:r>
        <w:rPr>
          <w:rFonts w:ascii="Calibri" w:cs="Calibri" w:eastAsia="Calibri" w:hAnsi="Calibri"/>
          <w:color w:val="1A1A1A"/>
          <w:sz w:val="22"/>
          <w:szCs w:val="22"/>
        </w:rPr>
        <w:t xml:space="preserve">Your background, the yacht, the thesis lineage, and the university-adjacent network all pull toward the segment that cites but does not pay. The assumption that academic adoption converts to commercial traction is only true when engineered deliberately (labs as named design partners, co-authored validation papers that </w:t>
      </w:r>
      <w:r>
        <w:rPr>
          <w:rFonts w:ascii="Calibri" w:cs="Calibri" w:eastAsia="Calibri" w:hAnsi="Calibri"/>
          <w:i/>
          <w:iCs/>
          <w:color w:val="1A1A1A"/>
          <w:sz w:val="22"/>
          <w:szCs w:val="22"/>
        </w:rPr>
        <w:t xml:space="preserve">companies</w:t>
      </w:r>
      <w:r>
        <w:rPr>
          <w:rFonts w:ascii="Calibri" w:cs="Calibri" w:eastAsia="Calibri" w:hAnsi="Calibri"/>
          <w:color w:val="1A1A1A"/>
          <w:sz w:val="22"/>
          <w:szCs w:val="22"/>
        </w:rPr>
        <w:t xml:space="preserve"> then trust). Consequence: a year of goodwill, three citations, no invoices. Correction: exactly two labs, chosen for instrument-credibility (one hydrodynamics, one autonomy), engaged as design partners with named deliverables; all other academic interest is routed to the free benchmark.</w:t>
      </w:r>
    </w:p>
    <w:p>
      <w:pPr>
        <w:pStyle w:val="Heading3"/>
        <w:spacing w:after="100" w:before="240"/>
      </w:pPr>
      <w:r>
        <w:rPr>
          <w:rFonts w:ascii="Calibri" w:cs="Calibri" w:eastAsia="Calibri" w:hAnsi="Calibri"/>
          <w:b/>
          <w:bCs/>
          <w:color w:val="3B3B3B"/>
          <w:sz w:val="23"/>
          <w:szCs w:val="23"/>
        </w:rPr>
        <w:t xml:space="preserve">F11 — Regulatory language you cannot yet back</w:t>
      </w:r>
    </w:p>
    <w:p>
      <w:pPr>
        <w:spacing w:after="160" w:line="276"/>
        <w:jc w:val="both"/>
      </w:pPr>
      <w:r>
        <w:rPr>
          <w:rFonts w:ascii="Calibri" w:cs="Calibri" w:eastAsia="Calibri" w:hAnsi="Calibri"/>
          <w:color w:val="1A1A1A"/>
          <w:sz w:val="22"/>
          <w:szCs w:val="22"/>
        </w:rPr>
        <w:t xml:space="preserve">Draft copy has already reached for "regulatory-grade evidence." Only an administration or class society can bless evidence; a vendor claiming grade pre-emptively invites the industry's antibodies. You caught one instance (KI-019); the assumption to kill is that regulatory credibility can be </w:t>
      </w:r>
      <w:r>
        <w:rPr>
          <w:rFonts w:ascii="Calibri" w:cs="Calibri" w:eastAsia="Calibri" w:hAnsi="Calibri"/>
          <w:i/>
          <w:iCs/>
          <w:color w:val="1A1A1A"/>
          <w:sz w:val="22"/>
          <w:szCs w:val="22"/>
        </w:rPr>
        <w:t xml:space="preserve">asserted</w:t>
      </w:r>
      <w:r>
        <w:rPr>
          <w:rFonts w:ascii="Calibri" w:cs="Calibri" w:eastAsia="Calibri" w:hAnsi="Calibri"/>
          <w:color w:val="1A1A1A"/>
          <w:sz w:val="22"/>
          <w:szCs w:val="22"/>
        </w:rPr>
        <w:t xml:space="preserve">. Consequence: burned bridges with the two or three DNV/class contacts who would otherwise champion you. Correction: the permitted vocabulary until third-party artifacts exist is "MASS-Code-</w:t>
      </w:r>
      <w:r>
        <w:rPr>
          <w:rFonts w:ascii="Calibri" w:cs="Calibri" w:eastAsia="Calibri" w:hAnsi="Calibri"/>
          <w:i/>
          <w:iCs/>
          <w:color w:val="1A1A1A"/>
          <w:sz w:val="22"/>
          <w:szCs w:val="22"/>
        </w:rPr>
        <w:t xml:space="preserve">mapped</w:t>
      </w:r>
      <w:r>
        <w:rPr>
          <w:rFonts w:ascii="Calibri" w:cs="Calibri" w:eastAsia="Calibri" w:hAnsi="Calibri"/>
          <w:color w:val="1A1A1A"/>
          <w:sz w:val="22"/>
          <w:szCs w:val="22"/>
        </w:rPr>
        <w:t xml:space="preserve">," "aligned to," "structured for assessor review," and the roadmap goal is a class society Approval in Principle or statement of fact on the </w:t>
      </w:r>
      <w:r>
        <w:rPr>
          <w:rFonts w:ascii="Calibri" w:cs="Calibri" w:eastAsia="Calibri" w:hAnsi="Calibri"/>
          <w:i/>
          <w:iCs/>
          <w:color w:val="1A1A1A"/>
          <w:sz w:val="22"/>
          <w:szCs w:val="22"/>
        </w:rPr>
        <w:t xml:space="preserve">methodology</w:t>
      </w:r>
      <w:r>
        <w:rPr>
          <w:rFonts w:ascii="Calibri" w:cs="Calibri" w:eastAsia="Calibri" w:hAnsi="Calibri"/>
          <w:color w:val="1A1A1A"/>
          <w:sz w:val="22"/>
          <w:szCs w:val="22"/>
        </w:rPr>
        <w:t xml:space="preserve"> (Part V).</w:t>
      </w:r>
    </w:p>
    <w:p>
      <w:pPr>
        <w:pStyle w:val="Heading3"/>
        <w:spacing w:after="100" w:before="240"/>
      </w:pPr>
      <w:r>
        <w:rPr>
          <w:rFonts w:ascii="Calibri" w:cs="Calibri" w:eastAsia="Calibri" w:hAnsi="Calibri"/>
          <w:b/>
          <w:bCs/>
          <w:color w:val="3B3B3B"/>
          <w:sz w:val="23"/>
          <w:szCs w:val="23"/>
        </w:rPr>
        <w:t xml:space="preserve">F12 — UE5 at the core couples your product to its heaviest, least-valuable layer</w:t>
      </w:r>
    </w:p>
    <w:p>
      <w:pPr>
        <w:spacing w:after="160" w:line="276"/>
        <w:jc w:val="both"/>
      </w:pPr>
      <w:r>
        <w:rPr>
          <w:rFonts w:ascii="Calibri" w:cs="Calibri" w:eastAsia="Calibri" w:hAnsi="Calibri"/>
          <w:color w:val="1A1A1A"/>
          <w:sz w:val="22"/>
          <w:szCs w:val="22"/>
        </w:rPr>
        <w:t xml:space="preserve">Current architecture treats the UE project as the product's home. Consequences: GPU distribution burden, engine non-determinism in the loop (KI-012's clock divergence is the symptom), Epic licensing questions for a commercial tool (royalty vs. seat terms need legal confirmation — Part X), and 100+ GB developer onboarding. Meanwhile every gate that matters runs headless in Python in seconds. Correction (Part VIII): formally split </w:t>
      </w:r>
      <w:r>
        <w:rPr>
          <w:rFonts w:ascii="Consolas" w:cs="Consolas" w:eastAsia="Consolas" w:hAnsi="Consolas"/>
          <w:color w:val="7A2E2E"/>
          <w:sz w:val="20"/>
          <w:szCs w:val="20"/>
        </w:rPr>
        <w:t xml:space="preserve">navisense-core</w:t>
      </w:r>
      <w:r>
        <w:rPr>
          <w:rFonts w:ascii="Calibri" w:cs="Calibri" w:eastAsia="Calibri" w:hAnsi="Calibri"/>
          <w:color w:val="1A1A1A"/>
          <w:sz w:val="22"/>
          <w:szCs w:val="22"/>
        </w:rPr>
        <w:t xml:space="preserve"> (plant, scenarios, scoring, evidence — pure Python, versioned, installable) from </w:t>
      </w:r>
      <w:r>
        <w:rPr>
          <w:rFonts w:ascii="Consolas" w:cs="Consolas" w:eastAsia="Consolas" w:hAnsi="Consolas"/>
          <w:color w:val="7A2E2E"/>
          <w:sz w:val="20"/>
          <w:szCs w:val="20"/>
        </w:rPr>
        <w:t xml:space="preserve">navisense-ue</w:t>
      </w:r>
      <w:r>
        <w:rPr>
          <w:rFonts w:ascii="Calibri" w:cs="Calibri" w:eastAsia="Calibri" w:hAnsi="Calibri"/>
          <w:color w:val="1A1A1A"/>
          <w:sz w:val="22"/>
          <w:szCs w:val="22"/>
        </w:rPr>
        <w:t xml:space="preserve"> (a renderer/sensor frontend speaking the bridge protocol). You are 80% architecturally there; make it official before external users make the wrong layer load-bearing.</w:t>
      </w:r>
    </w:p>
    <w:p>
      <w:pPr>
        <w:pStyle w:val="Heading3"/>
        <w:spacing w:after="100" w:before="240"/>
      </w:pPr>
      <w:r>
        <w:rPr>
          <w:rFonts w:ascii="Calibri" w:cs="Calibri" w:eastAsia="Calibri" w:hAnsi="Calibri"/>
          <w:b/>
          <w:bCs/>
          <w:color w:val="3B3B3B"/>
          <w:sz w:val="23"/>
          <w:szCs w:val="23"/>
        </w:rPr>
        <w:t xml:space="preserve">F13 — Corporate and IP hygiene is below diligence grade</w:t>
      </w:r>
    </w:p>
    <w:p>
      <w:pPr>
        <w:spacing w:after="160" w:line="276"/>
        <w:jc w:val="both"/>
      </w:pPr>
      <w:r>
        <w:rPr>
          <w:rFonts w:ascii="Calibri" w:cs="Calibri" w:eastAsia="Calibri" w:hAnsi="Calibri"/>
          <w:color w:val="1A1A1A"/>
          <w:sz w:val="22"/>
          <w:szCs w:val="22"/>
        </w:rPr>
        <w:t xml:space="preserve">Observed: a Gmail address as the company contact; no confirmed domain; company registration status not evidenced in the repo; master's-project lineage with no recorded university IP position; group-designed hull (F4); no off-machine backup of the sole repo (KI-006); the name "NaviSense" un-cleared for trademark conflicts in your markets. Any one of these is normal at week 0; the full set at the point of soliciting pilots and grants is disqualifying in diligence. Consequence: a €10k pilot or €100k grant stalls on questions that cost €500 and a week to pre-empt. Correction: Part X, items 1–6, all executable within thirty days.</w:t>
      </w:r>
    </w:p>
    <w:p>
      <w:pPr>
        <w:pStyle w:val="Heading3"/>
        <w:spacing w:after="100" w:before="240"/>
      </w:pPr>
      <w:r>
        <w:rPr>
          <w:rFonts w:ascii="Calibri" w:cs="Calibri" w:eastAsia="Calibri" w:hAnsi="Calibri"/>
          <w:b/>
          <w:bCs/>
          <w:color w:val="3B3B3B"/>
          <w:sz w:val="23"/>
          <w:szCs w:val="23"/>
        </w:rPr>
        <w:t xml:space="preserve">F14 — The sim-to-real gap is currently unaddressed, not just unsolved</w:t>
      </w:r>
    </w:p>
    <w:p>
      <w:pPr>
        <w:spacing w:after="160" w:line="276"/>
        <w:jc w:val="both"/>
      </w:pPr>
      <w:r>
        <w:rPr>
          <w:rFonts w:ascii="Calibri" w:cs="Calibri" w:eastAsia="Calibri" w:hAnsi="Calibri"/>
          <w:color w:val="1A1A1A"/>
          <w:sz w:val="22"/>
          <w:szCs w:val="22"/>
        </w:rPr>
        <w:t xml:space="preserve">No tank data, no full-scale trial data, no benchmark-hull replication, no uncertainty statement on any KPI, sensors validated only against the sim itself (I.3). The wrong assumption is not "the gap is small" — you have made no claim — it is that the gap can be addressed later, after product. In a verification product the credibility program </w:t>
      </w:r>
      <w:r>
        <w:rPr>
          <w:rFonts w:ascii="Calibri" w:cs="Calibri" w:eastAsia="Calibri" w:hAnsi="Calibri"/>
          <w:i/>
          <w:iCs/>
          <w:color w:val="1A1A1A"/>
          <w:sz w:val="22"/>
          <w:szCs w:val="22"/>
        </w:rPr>
        <w:t xml:space="preserve">is</w:t>
      </w:r>
      <w:r>
        <w:rPr>
          <w:rFonts w:ascii="Calibri" w:cs="Calibri" w:eastAsia="Calibri" w:hAnsi="Calibri"/>
          <w:color w:val="1A1A1A"/>
          <w:sz w:val="22"/>
          <w:szCs w:val="22"/>
        </w:rPr>
        <w:t xml:space="preserve"> the product roadmap. Consequence: pilots stall at "how do I know the sim is right?" with no answer shaped like evidence. Correction: Part VI's tiered program, starting with the free, public, fast tier (benchmark-hull replication against published data) that converts "trust me" into "check me."</w:t>
      </w:r>
    </w:p>
    <w:p>
      <w:pPr>
        <w:pStyle w:val="Heading3"/>
        <w:spacing w:after="100" w:before="240"/>
      </w:pPr>
      <w:r>
        <w:rPr>
          <w:rFonts w:ascii="Calibri" w:cs="Calibri" w:eastAsia="Calibri" w:hAnsi="Calibri"/>
          <w:b/>
          <w:bCs/>
          <w:color w:val="3B3B3B"/>
          <w:sz w:val="23"/>
          <w:szCs w:val="23"/>
        </w:rPr>
        <w:t xml:space="preserve">F15 — The window is real but closing from both ends</w:t>
      </w:r>
    </w:p>
    <w:p>
      <w:pPr>
        <w:spacing w:after="160" w:line="276"/>
        <w:jc w:val="both"/>
      </w:pPr>
      <w:r>
        <w:rPr>
          <w:rFonts w:ascii="Calibri" w:cs="Calibri" w:eastAsia="Calibri" w:hAnsi="Calibri"/>
          <w:color w:val="1A1A1A"/>
          <w:sz w:val="22"/>
          <w:szCs w:val="22"/>
        </w:rPr>
        <w:t xml:space="preserve">From above: Applied Intuition's EpiSci acquisition and all-domain defense posture [S14][S15], DNV's simulation-based-testing R&amp;D and Simulation Trust Center [S6][S7], AILiveSim's head start. From below: free simulators improving, and academic groups publishing your concept (traceable virtual sea trials; automated COLREGS scenario generation) [S20][S21][S22]. The wrong assumption is that being early is a durable state. Consequence: the empty quadrant of II.3 fills while you polish. Correction: speed on the </w:t>
      </w:r>
      <w:r>
        <w:rPr>
          <w:rFonts w:ascii="Calibri" w:cs="Calibri" w:eastAsia="Calibri" w:hAnsi="Calibri"/>
          <w:i/>
          <w:iCs/>
          <w:color w:val="1A1A1A"/>
          <w:sz w:val="22"/>
          <w:szCs w:val="22"/>
        </w:rPr>
        <w:t xml:space="preserve">credibility artifacts</w:t>
      </w:r>
      <w:r>
        <w:rPr>
          <w:rFonts w:ascii="Calibri" w:cs="Calibri" w:eastAsia="Calibri" w:hAnsi="Calibri"/>
          <w:color w:val="1A1A1A"/>
          <w:sz w:val="22"/>
          <w:szCs w:val="22"/>
        </w:rPr>
        <w:t xml:space="preserve"> (benchmark replication, class conversation, first named pilot) — those, not features, are what the window rewards.</w:t>
      </w:r>
    </w:p>
    <w:p>
      <w:pPr>
        <w:pStyle w:val="Heading2"/>
        <w:spacing w:after="120" w:before="300"/>
      </w:pPr>
      <w:r>
        <w:rPr>
          <w:rFonts w:ascii="Calibri" w:cs="Calibri" w:eastAsia="Calibri" w:hAnsi="Calibri"/>
          <w:b/>
          <w:bCs/>
          <w:color w:val="2E5496"/>
          <w:sz w:val="26"/>
          <w:szCs w:val="26"/>
        </w:rPr>
        <w:t xml:space="preserve">III.16 What is </w:t>
      </w:r>
      <w:r>
        <w:rPr>
          <w:rFonts w:ascii="Calibri" w:cs="Calibri" w:eastAsia="Calibri" w:hAnsi="Calibri"/>
          <w:b/>
          <w:bCs/>
          <w:i/>
          <w:iCs/>
          <w:color w:val="2E5496"/>
          <w:sz w:val="26"/>
          <w:szCs w:val="26"/>
        </w:rPr>
        <w:t xml:space="preserve">right</w:t>
      </w:r>
      <w:r>
        <w:rPr>
          <w:rFonts w:ascii="Calibri" w:cs="Calibri" w:eastAsia="Calibri" w:hAnsi="Calibri"/>
          <w:b/>
          <w:bCs/>
          <w:color w:val="2E5496"/>
          <w:sz w:val="26"/>
          <w:szCs w:val="26"/>
        </w:rPr>
        <w:t xml:space="preserve"> — kept deliberately short</w:t>
      </w:r>
    </w:p>
    <w:p>
      <w:pPr>
        <w:spacing w:after="160" w:line="276"/>
        <w:jc w:val="both"/>
      </w:pPr>
      <w:r>
        <w:rPr>
          <w:rFonts w:ascii="Calibri" w:cs="Calibri" w:eastAsia="Calibri" w:hAnsi="Calibri"/>
          <w:color w:val="1A1A1A"/>
          <w:sz w:val="22"/>
          <w:szCs w:val="22"/>
        </w:rPr>
        <w:t xml:space="preserve">The verification culture is a genuine, monetizable differentiator; the evidence pack is the correct product seed; the MASS-Code timing instinct is correct and early; the honesty reflex (KI-019, partial-pack watermarking) is the single most important cultural asset a company in the assurance business can have; and the packet/automation operating system you built for one person is exactly what makes a part-time founding survivable — once it is pointed at the market. The raw material is good. The allocation is what this report exists to change.</w:t>
      </w:r>
    </w:p>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Part IV — The minimum viable segment, and the strategy to take it</w:t>
      </w:r>
    </w:p>
    <w:p>
      <w:pPr>
        <w:pStyle w:val="Heading2"/>
        <w:spacing w:after="120" w:before="300"/>
      </w:pPr>
      <w:r>
        <w:rPr>
          <w:rFonts w:ascii="Calibri" w:cs="Calibri" w:eastAsia="Calibri" w:hAnsi="Calibri"/>
          <w:b/>
          <w:bCs/>
          <w:color w:val="2E5496"/>
          <w:sz w:val="26"/>
          <w:szCs w:val="26"/>
        </w:rPr>
        <w:t xml:space="preserve">IV.1 Segment scoring</w:t>
      </w:r>
    </w:p>
    <w:p>
      <w:pPr>
        <w:spacing w:after="160" w:line="276"/>
        <w:jc w:val="both"/>
      </w:pPr>
      <w:r>
        <w:rPr>
          <w:rFonts w:ascii="Calibri" w:cs="Calibri" w:eastAsia="Calibri" w:hAnsi="Calibri"/>
          <w:color w:val="1A1A1A"/>
          <w:sz w:val="22"/>
          <w:szCs w:val="22"/>
        </w:rPr>
        <w:t xml:space="preserve">Six candidate beachheads, scored 1–5 against the criteria that matter to a bootstrapped, part-time, EU/UK-based solo founder: pain acuity (do they hurt now), budget accessibility (can they pay this year), founder reachability (can </w:t>
      </w:r>
      <w:r>
        <w:rPr>
          <w:rFonts w:ascii="Calibri" w:cs="Calibri" w:eastAsia="Calibri" w:hAnsi="Calibri"/>
          <w:i/>
          <w:iCs/>
          <w:color w:val="1A1A1A"/>
          <w:sz w:val="22"/>
          <w:szCs w:val="22"/>
        </w:rPr>
        <w:t xml:space="preserve">you</w:t>
      </w:r>
      <w:r>
        <w:rPr>
          <w:rFonts w:ascii="Calibri" w:cs="Calibri" w:eastAsia="Calibri" w:hAnsi="Calibri"/>
          <w:color w:val="1A1A1A"/>
          <w:sz w:val="22"/>
          <w:szCs w:val="22"/>
        </w:rPr>
        <w:t xml:space="preserve"> get the meeting), asset fit (does what you have serve them), regulatory tailwind (does the MASS Code / class clock push them to you), and cycle speed (weeks to a decision, not quarters).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25"/>
        <w:gridCol w:w="818"/>
        <w:gridCol w:w="818"/>
        <w:gridCol w:w="818"/>
        <w:gridCol w:w="1226"/>
        <w:gridCol w:w="1771"/>
        <w:gridCol w:w="818"/>
        <w:gridCol w:w="1226"/>
      </w:tblGrid>
      <w:tr>
        <w:trPr>
          <w:tblHeader/>
        </w:trPr>
        <w:tc>
          <w:tcPr>
            <w:tcW w:type="dxa" w:w="1525"/>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Segment</w:t>
            </w:r>
          </w:p>
        </w:tc>
        <w:tc>
          <w:tcPr>
            <w:tcW w:type="dxa" w:w="818"/>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Pain</w:t>
            </w:r>
          </w:p>
        </w:tc>
        <w:tc>
          <w:tcPr>
            <w:tcW w:type="dxa" w:w="818"/>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Budget</w:t>
            </w:r>
          </w:p>
        </w:tc>
        <w:tc>
          <w:tcPr>
            <w:tcW w:type="dxa" w:w="818"/>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Reach</w:t>
            </w:r>
          </w:p>
        </w:tc>
        <w:tc>
          <w:tcPr>
            <w:tcW w:type="dxa" w:w="1226"/>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Asset fit</w:t>
            </w:r>
          </w:p>
        </w:tc>
        <w:tc>
          <w:tcPr>
            <w:tcW w:type="dxa" w:w="1771"/>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Reg. tailwind</w:t>
            </w:r>
          </w:p>
        </w:tc>
        <w:tc>
          <w:tcPr>
            <w:tcW w:type="dxa" w:w="818"/>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Speed</w:t>
            </w:r>
          </w:p>
        </w:tc>
        <w:tc>
          <w:tcPr>
            <w:tcW w:type="dxa" w:w="1226"/>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Total /30</w:t>
            </w:r>
          </w:p>
        </w:tc>
      </w:tr>
      <w:tr>
        <w:trPr>
          <w:tblHeader w:val="false"/>
        </w:trPr>
        <w:tc>
          <w:tcPr>
            <w:tcW w:type="dxa" w:w="1525"/>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EU/UK USV developers &amp; operators (5–50 staff)</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4</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3</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4</w:t>
            </w:r>
          </w:p>
        </w:tc>
        <w:tc>
          <w:tcPr>
            <w:tcW w:type="dxa" w:w="122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4</w:t>
            </w:r>
          </w:p>
        </w:tc>
        <w:tc>
          <w:tcPr>
            <w:tcW w:type="dxa" w:w="177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5</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3</w:t>
            </w:r>
          </w:p>
        </w:tc>
        <w:tc>
          <w:tcPr>
            <w:tcW w:type="dxa" w:w="122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23</w:t>
            </w:r>
          </w:p>
        </w:tc>
      </w:tr>
      <w:tr>
        <w:trPr>
          <w:tblHeader w:val="false"/>
        </w:trPr>
        <w:tc>
          <w:tcPr>
            <w:tcW w:type="dxa" w:w="1525"/>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Autonomy-stack vendors (nav/collision-avoidance software)</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5</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4</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3</w:t>
            </w:r>
          </w:p>
        </w:tc>
        <w:tc>
          <w:tcPr>
            <w:tcW w:type="dxa" w:w="122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4</w:t>
            </w:r>
          </w:p>
        </w:tc>
        <w:tc>
          <w:tcPr>
            <w:tcW w:type="dxa" w:w="177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5</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2</w:t>
            </w:r>
          </w:p>
        </w:tc>
        <w:tc>
          <w:tcPr>
            <w:tcW w:type="dxa" w:w="122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23</w:t>
            </w:r>
          </w:p>
        </w:tc>
      </w:tr>
      <w:tr>
        <w:trPr>
          <w:tblHeader w:val="false"/>
        </w:trPr>
        <w:tc>
          <w:tcPr>
            <w:tcW w:type="dxa" w:w="1525"/>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University / institute autonomy &amp; hydro labs</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3</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2</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5</w:t>
            </w:r>
          </w:p>
        </w:tc>
        <w:tc>
          <w:tcPr>
            <w:tcW w:type="dxa" w:w="122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5</w:t>
            </w:r>
          </w:p>
        </w:tc>
        <w:tc>
          <w:tcPr>
            <w:tcW w:type="dxa" w:w="177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3</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4</w:t>
            </w:r>
          </w:p>
        </w:tc>
        <w:tc>
          <w:tcPr>
            <w:tcW w:type="dxa" w:w="122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22</w:t>
            </w:r>
          </w:p>
        </w:tc>
      </w:tr>
      <w:tr>
        <w:trPr>
          <w:tblHeader w:val="false"/>
        </w:trPr>
        <w:tc>
          <w:tcPr>
            <w:tcW w:type="dxa" w:w="1525"/>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Class societies / flag administrations</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3</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2</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2</w:t>
            </w:r>
          </w:p>
        </w:tc>
        <w:tc>
          <w:tcPr>
            <w:tcW w:type="dxa" w:w="122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3</w:t>
            </w:r>
          </w:p>
        </w:tc>
        <w:tc>
          <w:tcPr>
            <w:tcW w:type="dxa" w:w="177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5</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1</w:t>
            </w:r>
          </w:p>
        </w:tc>
        <w:tc>
          <w:tcPr>
            <w:tcW w:type="dxa" w:w="122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16</w:t>
            </w:r>
          </w:p>
        </w:tc>
      </w:tr>
      <w:tr>
        <w:trPr>
          <w:tblHeader w:val="false"/>
        </w:trPr>
        <w:tc>
          <w:tcPr>
            <w:tcW w:type="dxa" w:w="1525"/>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Defense primes / navies / NATO programs</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5</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5</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1</w:t>
            </w:r>
          </w:p>
        </w:tc>
        <w:tc>
          <w:tcPr>
            <w:tcW w:type="dxa" w:w="122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3</w:t>
            </w:r>
          </w:p>
        </w:tc>
        <w:tc>
          <w:tcPr>
            <w:tcW w:type="dxa" w:w="177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4</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1</w:t>
            </w:r>
          </w:p>
        </w:tc>
        <w:tc>
          <w:tcPr>
            <w:tcW w:type="dxa" w:w="122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19</w:t>
            </w:r>
          </w:p>
        </w:tc>
      </w:tr>
      <w:tr>
        <w:trPr>
          <w:tblHeader w:val="false"/>
        </w:trPr>
        <w:tc>
          <w:tcPr>
            <w:tcW w:type="dxa" w:w="1525"/>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Maritime training academies</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1</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3</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2</w:t>
            </w:r>
          </w:p>
        </w:tc>
        <w:tc>
          <w:tcPr>
            <w:tcW w:type="dxa" w:w="122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1</w:t>
            </w:r>
          </w:p>
        </w:tc>
        <w:tc>
          <w:tcPr>
            <w:tcW w:type="dxa" w:w="177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2</w:t>
            </w:r>
          </w:p>
        </w:tc>
        <w:tc>
          <w:tcPr>
            <w:tcW w:type="dxa" w:w="818"/>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2</w:t>
            </w:r>
          </w:p>
        </w:tc>
        <w:tc>
          <w:tcPr>
            <w:tcW w:type="dxa" w:w="122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11</w:t>
            </w:r>
          </w:p>
        </w:tc>
      </w:tr>
    </w:tbl>
    <w:p>
      <w:pPr>
        <w:spacing w:after="120"/>
      </w:pPr>
    </w:p>
    <w:p>
      <w:pPr>
        <w:spacing w:after="160" w:line="276"/>
        <w:jc w:val="both"/>
      </w:pPr>
      <w:r>
        <w:rPr>
          <w:rFonts w:ascii="Calibri" w:cs="Calibri" w:eastAsia="Calibri" w:hAnsi="Calibri"/>
          <w:color w:val="1A1A1A"/>
          <w:sz w:val="22"/>
          <w:szCs w:val="22"/>
        </w:rPr>
        <w:t xml:space="preserve">The scores confirm what the money map (II.2) suggested, with one nuance the totals hide: the two 23-point segments fail differently. Autonomy-stack vendors have the deepest pain but the strongest build-in-house reflex and the slowest trust cycle for a solo outsider. USV developers have slightly shallower pain but much weaker in-house simulation capability, faster decisions, and a concrete external forcing function: every flag conversation, insurance renewal, class engagement, and customer tender asks them to </w:t>
      </w:r>
      <w:r>
        <w:rPr>
          <w:rFonts w:ascii="Calibri" w:cs="Calibri" w:eastAsia="Calibri" w:hAnsi="Calibri"/>
          <w:i/>
          <w:iCs/>
          <w:color w:val="1A1A1A"/>
          <w:sz w:val="22"/>
          <w:szCs w:val="22"/>
        </w:rPr>
        <w:t xml:space="preserve">show evidence of safe behavior</w:t>
      </w:r>
      <w:r>
        <w:rPr>
          <w:rFonts w:ascii="Calibri" w:cs="Calibri" w:eastAsia="Calibri" w:hAnsi="Calibri"/>
          <w:color w:val="1A1A1A"/>
          <w:sz w:val="22"/>
          <w:szCs w:val="22"/>
        </w:rPr>
        <w:t xml:space="preserve">, and today they answer with slide decks and sea-trial anecdotes.</w:t>
      </w:r>
    </w:p>
    <w:p>
      <w:pPr>
        <w:pStyle w:val="Heading2"/>
        <w:spacing w:after="120" w:before="300"/>
      </w:pPr>
      <w:r>
        <w:rPr>
          <w:rFonts w:ascii="Calibri" w:cs="Calibri" w:eastAsia="Calibri" w:hAnsi="Calibri"/>
          <w:b/>
          <w:bCs/>
          <w:color w:val="2E5496"/>
          <w:sz w:val="26"/>
          <w:szCs w:val="26"/>
        </w:rPr>
        <w:t xml:space="preserve">IV.2 The minimum viable segment, named</w:t>
      </w:r>
    </w:p>
    <w:p>
      <w:pPr>
        <w:spacing w:after="160" w:line="276"/>
        <w:jc w:val="both"/>
      </w:pPr>
      <w:r>
        <w:rPr>
          <w:rFonts w:ascii="Calibri" w:cs="Calibri" w:eastAsia="Calibri" w:hAnsi="Calibri"/>
          <w:b/>
          <w:bCs/>
          <w:color w:val="1A1A1A"/>
          <w:sz w:val="22"/>
          <w:szCs w:val="22"/>
        </w:rPr>
        <w:t xml:space="preserve">Beachhead: European small-vessel autonomy teams — USV developers/operators and early MASS projects of roughly 5–50 people — who must produce structured safety-of-navigation evidence for a flag administration, class society, insurer, or procurement customer during 2026–2028.</w:t>
      </w:r>
      <w:r>
        <w:rPr>
          <w:rFonts w:ascii="Calibri" w:cs="Calibri" w:eastAsia="Calibri" w:hAnsi="Calibri"/>
          <w:color w:val="1A1A1A"/>
          <w:sz w:val="22"/>
          <w:szCs w:val="22"/>
        </w:rPr>
        <w:t xml:space="preserve"> Geographic focus UK, Norway, Netherlands, France, Monaco/France riviera cluster you already render, and the Baltic. Two research labs ride alongside as design partners (F10's constraint: exactly two), because their names de-risk you for the companies.</w:t>
      </w:r>
    </w:p>
    <w:p>
      <w:pPr>
        <w:spacing w:after="160" w:line="276"/>
        <w:jc w:val="both"/>
      </w:pPr>
      <w:r>
        <w:rPr>
          <w:rFonts w:ascii="Calibri" w:cs="Calibri" w:eastAsia="Calibri" w:hAnsi="Calibri"/>
          <w:b/>
          <w:bCs/>
          <w:color w:val="1A1A1A"/>
          <w:sz w:val="22"/>
          <w:szCs w:val="22"/>
        </w:rPr>
        <w:t xml:space="preserve">The offer is not "a simulator." It is a virtual sea-trial evidence service with a tool inside.</w:t>
      </w:r>
      <w:r>
        <w:rPr>
          <w:rFonts w:ascii="Calibri" w:cs="Calibri" w:eastAsia="Calibri" w:hAnsi="Calibri"/>
          <w:color w:val="1A1A1A"/>
          <w:sz w:val="22"/>
          <w:szCs w:val="22"/>
        </w:rPr>
        <w:t xml:space="preserve"> Concretely, a pilot engagement: (1) customer supplies vessel particulars and, where available, maneuvering data or coefficients — or buys your coefficient-estimation service on top; (2) you configure their vessel in the plant and run a defined scenario battery — IMO standard maneuvers plus a COLREGS encounter matrix (head-on, crossing give-way/stand-on, overtaking, plus multi-encounter Imazu-style cases [S21]) across sea states; (3) they receive the evidence dossier: reproducible run logs, IMO KPI tables, COLREGS conformance scoring with CPA/TCPA traces, health gates, provenance manifest, uncertainty statement, and a mapping annex tying each artifact to MASS Code functional areas and, where relevant, DNV AROS navigation-function expectations (Part V); (4) their autonomy stack can be attached through the bridge API for closed-loop variants — this is the hook that converts a service customer into a tool subscriber. Pilot price €8–15k as already planned; the deliverable justifying it is the dossier plus a regression harness they keep.</w:t>
      </w:r>
    </w:p>
    <w:p>
      <w:pPr>
        <w:spacing w:after="160" w:line="276"/>
        <w:jc w:val="both"/>
      </w:pPr>
      <w:r>
        <w:rPr>
          <w:rFonts w:ascii="Calibri" w:cs="Calibri" w:eastAsia="Calibri" w:hAnsi="Calibri"/>
          <w:color w:val="1A1A1A"/>
          <w:sz w:val="22"/>
          <w:szCs w:val="22"/>
        </w:rPr>
        <w:t xml:space="preserve">Why this wins where alternatives fail: it monetizes the skeleton (I.4) without waiting for multi-user product maturity; it requires no photorealism; it converts your verification culture into the visible product; it makes the customer's own vessel the validated artifact (dissolving F4 — DOLPHIN stops mattering); and every engagement compounds the validation database (Part VI, Level 4) and the scenario library — the real long-term moats identified in your own strategy documents.</w:t>
      </w:r>
    </w:p>
    <w:p>
      <w:pPr>
        <w:pStyle w:val="Heading2"/>
        <w:spacing w:after="120" w:before="300"/>
      </w:pPr>
      <w:r>
        <w:rPr>
          <w:rFonts w:ascii="Calibri" w:cs="Calibri" w:eastAsia="Calibri" w:hAnsi="Calibri"/>
          <w:b/>
          <w:bCs/>
          <w:color w:val="2E5496"/>
          <w:sz w:val="26"/>
          <w:szCs w:val="26"/>
        </w:rPr>
        <w:t xml:space="preserve">IV.3 Sizing the beachhead honestly</w:t>
      </w:r>
    </w:p>
    <w:p>
      <w:pPr>
        <w:spacing w:after="160" w:line="276"/>
        <w:jc w:val="both"/>
      </w:pPr>
      <w:r>
        <w:rPr>
          <w:rFonts w:ascii="Calibri" w:cs="Calibri" w:eastAsia="Calibri" w:hAnsi="Calibri"/>
          <w:color w:val="1A1A1A"/>
          <w:sz w:val="22"/>
          <w:szCs w:val="22"/>
        </w:rPr>
        <w:t xml:space="preserve">Europe plausibly holds 100–150 organisations matching the beachhead definition (USV OEMs, operators, autonomy vendors, applied institutes). If 25 conversations yield 5 serious evaluations and 2–3 paid pilots in 2026 at €8–15k, that is €20–45k of 2026 revenue — which trips your own full-time trigger and, far more importantly, produces two named case studies and the first entries in the validation registry. A 2027 with 8–12 customers mixing pilots and early subscriptions (€10–25k/yr) is €100–250k — enough, with one grant, to fund the first hire. These are small numbers stated without embarrassment: in this niche, the compounding assets (evidence formats in circulation, benchmark citations, class relationships) matter more than early revenue, and the numbers stay survivable because your cost base is near zero.</w:t>
      </w:r>
    </w:p>
    <w:p>
      <w:pPr>
        <w:pStyle w:val="Heading2"/>
        <w:spacing w:after="120" w:before="300"/>
      </w:pPr>
      <w:r>
        <w:rPr>
          <w:rFonts w:ascii="Calibri" w:cs="Calibri" w:eastAsia="Calibri" w:hAnsi="Calibri"/>
          <w:b/>
          <w:bCs/>
          <w:color w:val="2E5496"/>
          <w:sz w:val="26"/>
          <w:szCs w:val="26"/>
        </w:rPr>
        <w:t xml:space="preserve">IV.4 The strategy, compressed</w:t>
      </w:r>
    </w:p>
    <w:p>
      <w:pPr>
        <w:spacing w:after="160" w:line="276"/>
        <w:jc w:val="both"/>
      </w:pPr>
      <w:r>
        <w:rPr>
          <w:rFonts w:ascii="Calibri" w:cs="Calibri" w:eastAsia="Calibri" w:hAnsi="Calibri"/>
          <w:color w:val="1A1A1A"/>
          <w:sz w:val="22"/>
          <w:szCs w:val="22"/>
        </w:rPr>
        <w:t xml:space="preserve">Phase 1 (now–Sep 2026), </w:t>
      </w:r>
      <w:r>
        <w:rPr>
          <w:rFonts w:ascii="Calibri" w:cs="Calibri" w:eastAsia="Calibri" w:hAnsi="Calibri"/>
          <w:i/>
          <w:iCs/>
          <w:color w:val="1A1A1A"/>
          <w:sz w:val="22"/>
          <w:szCs w:val="22"/>
        </w:rPr>
        <w:t xml:space="preserve">prove the instrument</w:t>
      </w:r>
      <w:r>
        <w:rPr>
          <w:rFonts w:ascii="Calibri" w:cs="Calibri" w:eastAsia="Calibri" w:hAnsi="Calibri"/>
          <w:color w:val="1A1A1A"/>
          <w:sz w:val="22"/>
          <w:szCs w:val="22"/>
        </w:rPr>
        <w:t xml:space="preserve">: benchmark-hull validation published (Part IX), demo film shipped, twenty-five discovery calls, one pilot signed, Eurostars submitted (10 Sep), commercial entity hygiene complete (Part X). Phase 2 (Oct 2026–mid 2027), </w:t>
      </w:r>
      <w:r>
        <w:rPr>
          <w:rFonts w:ascii="Calibri" w:cs="Calibri" w:eastAsia="Calibri" w:hAnsi="Calibri"/>
          <w:i/>
          <w:iCs/>
          <w:color w:val="1A1A1A"/>
          <w:sz w:val="22"/>
          <w:szCs w:val="22"/>
        </w:rPr>
        <w:t xml:space="preserve">prove the buyer</w:t>
      </w:r>
      <w:r>
        <w:rPr>
          <w:rFonts w:ascii="Calibri" w:cs="Calibri" w:eastAsia="Calibri" w:hAnsi="Calibri"/>
          <w:color w:val="1A1A1A"/>
          <w:sz w:val="22"/>
          <w:szCs w:val="22"/>
        </w:rPr>
        <w:t xml:space="preserve">: three pilots delivered with dossiers; one class-society methodology conversation opened with DNV or ClassNK (Part V.4); community alpha shipped in inverted open-core form (F9); first design-partner lab paper submitted. Phase 3 (mid 2027+), </w:t>
      </w:r>
      <w:r>
        <w:rPr>
          <w:rFonts w:ascii="Calibri" w:cs="Calibri" w:eastAsia="Calibri" w:hAnsi="Calibri"/>
          <w:i/>
          <w:iCs/>
          <w:color w:val="1A1A1A"/>
          <w:sz w:val="22"/>
          <w:szCs w:val="22"/>
        </w:rPr>
        <w:t xml:space="preserve">prove the wedge scales</w:t>
      </w:r>
      <w:r>
        <w:rPr>
          <w:rFonts w:ascii="Calibri" w:cs="Calibri" w:eastAsia="Calibri" w:hAnsi="Calibri"/>
          <w:color w:val="1A1A1A"/>
          <w:sz w:val="22"/>
          <w:szCs w:val="22"/>
        </w:rPr>
        <w:t xml:space="preserve">: subscriptions, the validation registry opt-in live, EBP-aligned data formats, first hire, and only then the word "platform" re-enters the vocabulary. Every phase has kill criteria in Part XI; the plan is falsifiable on purpose.</w:t>
      </w:r>
    </w:p>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Part V — Regulatory alignment: MASS Code and DNV AROS playbook</w:t>
      </w:r>
    </w:p>
    <w:p>
      <w:pPr>
        <w:pStyle w:val="Heading2"/>
        <w:spacing w:after="120" w:before="300"/>
      </w:pPr>
      <w:r>
        <w:rPr>
          <w:rFonts w:ascii="Calibri" w:cs="Calibri" w:eastAsia="Calibri" w:hAnsi="Calibri"/>
          <w:b/>
          <w:bCs/>
          <w:color w:val="2E5496"/>
          <w:sz w:val="26"/>
          <w:szCs w:val="26"/>
        </w:rPr>
        <w:t xml:space="preserve">V.1 What the MASS Code actually is, and where a simulator plugs in</w:t>
      </w:r>
    </w:p>
    <w:p>
      <w:pPr>
        <w:spacing w:after="160" w:line="276"/>
        <w:jc w:val="both"/>
      </w:pPr>
      <w:r>
        <w:rPr>
          <w:rFonts w:ascii="Calibri" w:cs="Calibri" w:eastAsia="Calibri" w:hAnsi="Calibri"/>
          <w:color w:val="1A1A1A"/>
          <w:sz w:val="22"/>
          <w:szCs w:val="22"/>
        </w:rPr>
        <w:t xml:space="preserve">The International Code of Safety for Maritime Autonomous Surface Ships, adopted by MSC.595(111) in May 2026 and in voluntary effect since 1 July 2026 [S1][S2], is </w:t>
      </w:r>
      <w:r>
        <w:rPr>
          <w:rFonts w:ascii="Calibri" w:cs="Calibri" w:eastAsia="Calibri" w:hAnsi="Calibri"/>
          <w:i/>
          <w:iCs/>
          <w:color w:val="1A1A1A"/>
          <w:sz w:val="22"/>
          <w:szCs w:val="22"/>
        </w:rPr>
        <w:t xml:space="preserve">goal-based</w:t>
      </w:r>
      <w:r>
        <w:rPr>
          <w:rFonts w:ascii="Calibri" w:cs="Calibri" w:eastAsia="Calibri" w:hAnsi="Calibri"/>
          <w:color w:val="1A1A1A"/>
          <w:sz w:val="22"/>
          <w:szCs w:val="22"/>
        </w:rPr>
        <w:t xml:space="preserve">: Part III sets out goals, functional requirements, and expected performance for the functions of a MASS, rather than prescriptive equipment rules [S3]. Its chapters cover, among others: the approval process, risk assessment, operational context, system design, software principles, management of safe operations, alert management, safety of navigation, connectivity, and remote operations [S3]. Three structural features matter enormously for you. First, the Code applies function-by-function — a vessel is assessed per autonomous or remote </w:t>
      </w:r>
      <w:r>
        <w:rPr>
          <w:rFonts w:ascii="Calibri" w:cs="Calibri" w:eastAsia="Calibri" w:hAnsi="Calibri"/>
          <w:i/>
          <w:iCs/>
          <w:color w:val="1A1A1A"/>
          <w:sz w:val="22"/>
          <w:szCs w:val="22"/>
        </w:rPr>
        <w:t xml:space="preserve">function</w:t>
      </w:r>
      <w:r>
        <w:rPr>
          <w:rFonts w:ascii="Calibri" w:cs="Calibri" w:eastAsia="Calibri" w:hAnsi="Calibri"/>
          <w:color w:val="1A1A1A"/>
          <w:sz w:val="22"/>
          <w:szCs w:val="22"/>
        </w:rPr>
        <w:t xml:space="preserve"> (e.g., navigation) even with crew aboard for others [S3]. Second, approval is risk-assessment-centred: the applicant must define an operational context (the maritime equivalent of an operational design domain), identify hazards, and demonstrate that each MASS function meets the expected performance within that context. Third, the Experience-Building Phase being framed at MSC 112 (December 2026) is explicitly about collecting operational data, data formats, and stakeholder access to data [S1][S3] — i.e., the regime is openly soliciting exactly the kind of structured, comparable evidence your pipeline emits.</w:t>
      </w:r>
    </w:p>
    <w:p>
      <w:pPr>
        <w:spacing w:after="160" w:line="276"/>
        <w:jc w:val="both"/>
      </w:pPr>
      <w:r>
        <w:rPr>
          <w:rFonts w:ascii="Calibri" w:cs="Calibri" w:eastAsia="Calibri" w:hAnsi="Calibri"/>
          <w:color w:val="1A1A1A"/>
          <w:sz w:val="22"/>
          <w:szCs w:val="22"/>
        </w:rPr>
        <w:t xml:space="preserve">Nothing in the Code says "simulation evidence is accepted" in so many words — that acceptance is brokered per-project by administrations and class societies, typically referencing the IMO interim guidelines for MASS trials (MSC.1/Circ.1604) and class frameworks. This is why the alignment play is not "comply with the MASS Code" (a vendor cannot; only a ship project can) but "make every NaviSense artifact </w:t>
      </w:r>
      <w:r>
        <w:rPr>
          <w:rFonts w:ascii="Calibri" w:cs="Calibri" w:eastAsia="Calibri" w:hAnsi="Calibri"/>
          <w:i/>
          <w:iCs/>
          <w:color w:val="1A1A1A"/>
          <w:sz w:val="22"/>
          <w:szCs w:val="22"/>
        </w:rPr>
        <w:t xml:space="preserve">addressable</w:t>
      </w:r>
      <w:r>
        <w:rPr>
          <w:rFonts w:ascii="Calibri" w:cs="Calibri" w:eastAsia="Calibri" w:hAnsi="Calibri"/>
          <w:color w:val="1A1A1A"/>
          <w:sz w:val="22"/>
          <w:szCs w:val="22"/>
        </w:rPr>
        <w:t xml:space="preserve"> in MASS-Code terms, so that an applicant using NaviSense can drop your dossier into their risk-assessment and approval file with minimal translation."</w:t>
      </w:r>
    </w:p>
    <w:p>
      <w:pPr>
        <w:pStyle w:val="Heading2"/>
        <w:spacing w:after="120" w:before="300"/>
      </w:pPr>
      <w:r>
        <w:rPr>
          <w:rFonts w:ascii="Calibri" w:cs="Calibri" w:eastAsia="Calibri" w:hAnsi="Calibri"/>
          <w:b/>
          <w:bCs/>
          <w:color w:val="2E5496"/>
          <w:sz w:val="26"/>
          <w:szCs w:val="26"/>
        </w:rPr>
        <w:t xml:space="preserve">V.2 What DNV AROS actually is</w:t>
      </w:r>
    </w:p>
    <w:p>
      <w:pPr>
        <w:spacing w:after="160" w:line="276"/>
        <w:jc w:val="both"/>
      </w:pPr>
      <w:r>
        <w:rPr>
          <w:rFonts w:ascii="Calibri" w:cs="Calibri" w:eastAsia="Calibri" w:hAnsi="Calibri"/>
          <w:color w:val="1A1A1A"/>
          <w:sz w:val="22"/>
          <w:szCs w:val="22"/>
        </w:rPr>
        <w:t xml:space="preserve">AROS (Autonomous and Remotely Operated Ships), effective January 2025, is DNV's family of </w:t>
      </w:r>
      <w:r>
        <w:rPr>
          <w:rFonts w:ascii="Calibri" w:cs="Calibri" w:eastAsia="Calibri" w:hAnsi="Calibri"/>
          <w:i/>
          <w:iCs/>
          <w:color w:val="1A1A1A"/>
          <w:sz w:val="22"/>
          <w:szCs w:val="22"/>
        </w:rPr>
        <w:t xml:space="preserve">additional class notations</w:t>
      </w:r>
      <w:r>
        <w:rPr>
          <w:rFonts w:ascii="Calibri" w:cs="Calibri" w:eastAsia="Calibri" w:hAnsi="Calibri"/>
          <w:color w:val="1A1A1A"/>
          <w:sz w:val="22"/>
          <w:szCs w:val="22"/>
        </w:rPr>
        <w:t xml:space="preserve"> built on the updated class guideline DNV-CG-0264 [S5][S6]. It is organized along three axes: four function categories — navigation (NAV), engineering (ENG), operational, safety; four modes of operation — decision support (DS), remote control (RC), supervised autonomy (SA), full autonomy (FA); and location of control — onboard, off-ship, hybrid. Notations compose per function and mode, e.g. AROS-NAV(DS,SA,HC) with AROS-ENG(RC,HC) for a vessel with navigational decision support plus supervised autonomy in parts of the voyage, remotely controlled machinery, and hybrid control [S6]. CG-0264 supplies the risk-based qualification processes, and DNV offers Approval in Principle, type approval, and product certification routes for autoremote </w:t>
      </w:r>
      <w:r>
        <w:rPr>
          <w:rFonts w:ascii="Calibri" w:cs="Calibri" w:eastAsia="Calibri" w:hAnsi="Calibri"/>
          <w:i/>
          <w:iCs/>
          <w:color w:val="1A1A1A"/>
          <w:sz w:val="22"/>
          <w:szCs w:val="22"/>
        </w:rPr>
        <w:t xml:space="preserve">systems</w:t>
      </w:r>
      <w:r>
        <w:rPr>
          <w:rFonts w:ascii="Calibri" w:cs="Calibri" w:eastAsia="Calibri" w:hAnsi="Calibri"/>
          <w:color w:val="1A1A1A"/>
          <w:sz w:val="22"/>
          <w:szCs w:val="22"/>
        </w:rPr>
        <w:t xml:space="preserve">, not just vessels [S6]. Complementing this, DNV-RP-0513 (Assurance of simulation models) defines how DNV establishes trust in a simulation model itself: risk-based required confidence level, supplier maturity assessment, and model assurance comprising conceptual-model qualification, code verification, and validation against reality — operationalized in DNV's Simulation Trust Center [S7]. DNV's research arm has publicly argued that assurance of autonomous ships requires large-scale systematic simulation-based testing against a digital twin [S7]. In short: the world's leading class society has pre-built the intellectual scaffolding your product needs to hang from — and expects simulation vendors to meet RP-0513-shaped scrutiny.</w:t>
      </w:r>
    </w:p>
    <w:p>
      <w:pPr>
        <w:pStyle w:val="Heading2"/>
        <w:spacing w:after="120" w:before="300"/>
      </w:pPr>
      <w:r>
        <w:rPr>
          <w:rFonts w:ascii="Calibri" w:cs="Calibri" w:eastAsia="Calibri" w:hAnsi="Calibri"/>
          <w:b/>
          <w:bCs/>
          <w:color w:val="2E5496"/>
          <w:sz w:val="26"/>
          <w:szCs w:val="26"/>
        </w:rPr>
        <w:t xml:space="preserve">V.3 The artifact-to-requirement mapping</w:t>
      </w:r>
    </w:p>
    <w:p>
      <w:pPr>
        <w:spacing w:after="160" w:line="276"/>
        <w:jc w:val="both"/>
      </w:pPr>
      <w:r>
        <w:rPr>
          <w:rFonts w:ascii="Calibri" w:cs="Calibri" w:eastAsia="Calibri" w:hAnsi="Calibri"/>
          <w:color w:val="1A1A1A"/>
          <w:sz w:val="22"/>
          <w:szCs w:val="22"/>
        </w:rPr>
        <w:t xml:space="preserve">The table below is the concrete alignment deliverable: it should become a living annex shipped inside every evidence pack ("Regulatory mapping, rev. n"). Left column: what NaviSense already emits. Middle: where it lands in the MASS Code's structure. Right: the AROS/CG-0264 hook.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387"/>
        <w:gridCol w:w="1891"/>
        <w:gridCol w:w="2742"/>
      </w:tblGrid>
      <w:tr>
        <w:trPr>
          <w:tblHeader/>
        </w:trPr>
        <w:tc>
          <w:tcPr>
            <w:tcW w:type="dxa" w:w="4387"/>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NaviSense artifact (existing)</w:t>
            </w:r>
          </w:p>
        </w:tc>
        <w:tc>
          <w:tcPr>
            <w:tcW w:type="dxa" w:w="1891"/>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MASS Code touchpoint</w:t>
            </w:r>
          </w:p>
        </w:tc>
        <w:tc>
          <w:tcPr>
            <w:tcW w:type="dxa" w:w="2742"/>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DNV AROS / CG-0264 touchpoint</w:t>
            </w:r>
          </w:p>
        </w:tc>
      </w:tr>
      <w:tr>
        <w:trPr>
          <w:tblHeader w:val="false"/>
        </w:trPr>
        <w:tc>
          <w:tcPr>
            <w:tcW w:type="dxa" w:w="438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Scenario definition (YAML: vessel, environment, traffic, sea-state schedule)</w:t>
            </w:r>
          </w:p>
        </w:tc>
        <w:tc>
          <w:tcPr>
            <w:tcW w:type="dxa" w:w="18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Operational context / ODD definition; risk-assessment scenario basis</w:t>
            </w:r>
          </w:p>
        </w:tc>
        <w:tc>
          <w:tcPr>
            <w:tcW w:type="dxa" w:w="274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ConOps description; NAV function operational envelope</w:t>
            </w:r>
          </w:p>
        </w:tc>
      </w:tr>
      <w:tr>
        <w:trPr>
          <w:tblHeader w:val="false"/>
        </w:trPr>
        <w:tc>
          <w:tcPr>
            <w:tcW w:type="dxa" w:w="438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COLREGS encounter matrix + conformance scoring (Rules 8, 13–17; CPA/TCPA)</w:t>
            </w:r>
          </w:p>
        </w:tc>
        <w:tc>
          <w:tcPr>
            <w:tcW w:type="dxa" w:w="18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Safety of navigation functional requirements; expected performance evidence</w:t>
            </w:r>
          </w:p>
        </w:tc>
        <w:tc>
          <w:tcPr>
            <w:tcW w:type="dxa" w:w="274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AROS-NAV mode qualification (DS/SA); collision-avoidance function testing</w:t>
            </w:r>
          </w:p>
        </w:tc>
      </w:tr>
      <w:tr>
        <w:trPr>
          <w:tblHeader w:val="false"/>
        </w:trPr>
        <w:tc>
          <w:tcPr>
            <w:tcW w:type="dxa" w:w="438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IMO maneuvering KPIs (turning circle, zig-zag vs. MSC.137(76) criteria)</w:t>
            </w:r>
          </w:p>
        </w:tc>
        <w:tc>
          <w:tcPr>
            <w:tcW w:type="dxa" w:w="18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System design / safety of navigation baseline vessel capability</w:t>
            </w:r>
          </w:p>
        </w:tc>
        <w:tc>
          <w:tcPr>
            <w:tcW w:type="dxa" w:w="274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Vessel maneuvering characterization underpinning NAV assessments</w:t>
            </w:r>
          </w:p>
        </w:tc>
      </w:tr>
      <w:tr>
        <w:trPr>
          <w:tblHeader w:val="false"/>
        </w:trPr>
        <w:tc>
          <w:tcPr>
            <w:tcW w:type="dxa" w:w="438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Run logs, canonical clock, health gates (K1–K8), integrity manifest</w:t>
            </w:r>
          </w:p>
        </w:tc>
        <w:tc>
          <w:tcPr>
            <w:tcW w:type="dxa" w:w="18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Software principles; management of safe operations; auditability</w:t>
            </w:r>
          </w:p>
        </w:tc>
        <w:tc>
          <w:tcPr>
            <w:tcW w:type="dxa" w:w="274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Simulation-based testing traceability; RP-0513 verification evidence</w:t>
            </w:r>
          </w:p>
        </w:tc>
      </w:tr>
      <w:tr>
        <w:trPr>
          <w:tblHeader w:val="false"/>
        </w:trPr>
        <w:tc>
          <w:tcPr>
            <w:tcW w:type="dxa" w:w="438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Evidence pack + single-file HTML report with provenance and pass/fail verdicts</w:t>
            </w:r>
          </w:p>
        </w:tc>
        <w:tc>
          <w:tcPr>
            <w:tcW w:type="dxa" w:w="18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Approval-process documentation; EBP data submission candidate</w:t>
            </w:r>
          </w:p>
        </w:tc>
        <w:tc>
          <w:tcPr>
            <w:tcW w:type="dxa" w:w="274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Assessor-facing test report; input to AiP dossiers</w:t>
            </w:r>
          </w:p>
        </w:tc>
      </w:tr>
      <w:tr>
        <w:trPr>
          <w:tblHeader w:val="false"/>
        </w:trPr>
        <w:tc>
          <w:tcPr>
            <w:tcW w:type="dxa" w:w="438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Sensor stream (</w:t>
            </w:r>
            <w:r>
              <w:rPr>
                <w:rFonts w:ascii="Consolas" w:cs="Consolas" w:eastAsia="Consolas" w:hAnsi="Consolas"/>
                <w:color w:val="7A2E2E"/>
                <w:sz w:val="16"/>
                <w:szCs w:val="16"/>
              </w:rPr>
              <w:t xml:space="preserve">sensor.v1</w:t>
            </w:r>
            <w:r>
              <w:rPr>
                <w:rFonts w:ascii="Calibri" w:cs="Calibri" w:eastAsia="Calibri" w:hAnsi="Calibri"/>
                <w:color w:val="1A1A1A"/>
                <w:sz w:val="18"/>
                <w:szCs w:val="18"/>
              </w:rPr>
              <w:t xml:space="preserve">: GPS/IMU/AIS/radar/camera) with fidelity gates</w:t>
            </w:r>
          </w:p>
        </w:tc>
        <w:tc>
          <w:tcPr>
            <w:tcW w:type="dxa" w:w="18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Connectivity; remote-operations situational-awareness evidence (future)</w:t>
            </w:r>
          </w:p>
        </w:tc>
        <w:tc>
          <w:tcPr>
            <w:tcW w:type="dxa" w:w="274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Remote-control-centre data-quality demonstration (future)</w:t>
            </w:r>
          </w:p>
        </w:tc>
      </w:tr>
      <w:tr>
        <w:trPr>
          <w:tblHeader w:val="false"/>
        </w:trPr>
        <w:tc>
          <w:tcPr>
            <w:tcW w:type="dxa" w:w="438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Repro doctor + one-command runner + negative controls</w:t>
            </w:r>
          </w:p>
        </w:tc>
        <w:tc>
          <w:tcPr>
            <w:tcW w:type="dxa" w:w="18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Software principles (quality, reproducibility)</w:t>
            </w:r>
          </w:p>
        </w:tc>
        <w:tc>
          <w:tcPr>
            <w:tcW w:type="dxa" w:w="274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RP-0513 supplier-maturity signals (process discipline)</w:t>
            </w:r>
          </w:p>
        </w:tc>
      </w:tr>
      <w:tr>
        <w:trPr>
          <w:tblHeader w:val="false"/>
        </w:trPr>
        <w:tc>
          <w:tcPr>
            <w:tcW w:type="dxa" w:w="438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Sim-vs-real residual reports (Part VI, once real data exists)</w:t>
            </w:r>
          </w:p>
        </w:tc>
        <w:tc>
          <w:tcPr>
            <w:tcW w:type="dxa" w:w="18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Risk assessment confidence; EBP experience data</w:t>
            </w:r>
          </w:p>
        </w:tc>
        <w:tc>
          <w:tcPr>
            <w:tcW w:type="dxa" w:w="274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RP-0513 validation-against-reality; required-confidence justification</w:t>
            </w:r>
          </w:p>
        </w:tc>
      </w:tr>
    </w:tbl>
    <w:p>
      <w:pPr>
        <w:spacing w:after="120"/>
      </w:pPr>
    </w:p>
    <w:p>
      <w:pPr>
        <w:spacing w:after="160" w:line="276"/>
        <w:jc w:val="both"/>
      </w:pPr>
      <w:r>
        <w:rPr>
          <w:rFonts w:ascii="Calibri" w:cs="Calibri" w:eastAsia="Calibri" w:hAnsi="Calibri"/>
          <w:color w:val="1A1A1A"/>
          <w:sz w:val="22"/>
          <w:szCs w:val="22"/>
        </w:rPr>
        <w:t xml:space="preserve">Two gaps the mapping exposes: (1) you have no </w:t>
      </w:r>
      <w:r>
        <w:rPr>
          <w:rFonts w:ascii="Calibri" w:cs="Calibri" w:eastAsia="Calibri" w:hAnsi="Calibri"/>
          <w:i/>
          <w:iCs/>
          <w:color w:val="1A1A1A"/>
          <w:sz w:val="22"/>
          <w:szCs w:val="22"/>
        </w:rPr>
        <w:t xml:space="preserve">uncertainty statement</w:t>
      </w:r>
      <w:r>
        <w:rPr>
          <w:rFonts w:ascii="Calibri" w:cs="Calibri" w:eastAsia="Calibri" w:hAnsi="Calibri"/>
          <w:color w:val="1A1A1A"/>
          <w:sz w:val="22"/>
          <w:szCs w:val="22"/>
        </w:rPr>
        <w:t xml:space="preserve"> artifact — RP-0513-style credibility requires stating the validity envelope and confidence of every number; Part VI adds it; (2) you have no </w:t>
      </w:r>
      <w:r>
        <w:rPr>
          <w:rFonts w:ascii="Calibri" w:cs="Calibri" w:eastAsia="Calibri" w:hAnsi="Calibri"/>
          <w:i/>
          <w:iCs/>
          <w:color w:val="1A1A1A"/>
          <w:sz w:val="22"/>
          <w:szCs w:val="22"/>
        </w:rPr>
        <w:t xml:space="preserve">requirements-trace</w:t>
      </w:r>
      <w:r>
        <w:rPr>
          <w:rFonts w:ascii="Calibri" w:cs="Calibri" w:eastAsia="Calibri" w:hAnsi="Calibri"/>
          <w:color w:val="1A1A1A"/>
          <w:sz w:val="22"/>
          <w:szCs w:val="22"/>
        </w:rPr>
        <w:t xml:space="preserve"> artifact — a machine-readable table linking each scenario to the functional requirement it exercises. Both are days of work, not months, and they are precisely what distinguishes "simulator output" from "assessor-ready evidence."</w:t>
      </w:r>
    </w:p>
    <w:p>
      <w:pPr>
        <w:pStyle w:val="Heading2"/>
        <w:spacing w:after="120" w:before="300"/>
      </w:pPr>
      <w:r>
        <w:rPr>
          <w:rFonts w:ascii="Calibri" w:cs="Calibri" w:eastAsia="Calibri" w:hAnsi="Calibri"/>
          <w:b/>
          <w:bCs/>
          <w:color w:val="2E5496"/>
          <w:sz w:val="26"/>
          <w:szCs w:val="26"/>
        </w:rPr>
        <w:t xml:space="preserve">V.4 The playbook, in order</w:t>
      </w:r>
    </w:p>
    <w:p>
      <w:pPr>
        <w:spacing w:after="160" w:line="276"/>
        <w:jc w:val="both"/>
      </w:pPr>
      <w:r>
        <w:rPr>
          <w:rFonts w:ascii="Calibri" w:cs="Calibri" w:eastAsia="Calibri" w:hAnsi="Calibri"/>
          <w:b/>
          <w:bCs/>
          <w:color w:val="1A1A1A"/>
          <w:sz w:val="22"/>
          <w:szCs w:val="22"/>
        </w:rPr>
        <w:t xml:space="preserve">Step 1 (immediately): adopt the vocabulary.</w:t>
      </w:r>
      <w:r>
        <w:rPr>
          <w:rFonts w:ascii="Calibri" w:cs="Calibri" w:eastAsia="Calibri" w:hAnsi="Calibri"/>
          <w:color w:val="1A1A1A"/>
          <w:sz w:val="22"/>
          <w:szCs w:val="22"/>
        </w:rPr>
        <w:t xml:space="preserve"> Rename internals and docs to the Code's language — operational context, function, expected performance, verification evidence. Cheap, and it changes every conversation with an assessor. </w:t>
      </w:r>
      <w:r>
        <w:rPr>
          <w:rFonts w:ascii="Calibri" w:cs="Calibri" w:eastAsia="Calibri" w:hAnsi="Calibri"/>
          <w:b/>
          <w:bCs/>
          <w:color w:val="1A1A1A"/>
          <w:sz w:val="22"/>
          <w:szCs w:val="22"/>
        </w:rPr>
        <w:t xml:space="preserve">Step 2 (30 days): ship the mapping annex + requirements trace + uncertainty statement</w:t>
      </w:r>
      <w:r>
        <w:rPr>
          <w:rFonts w:ascii="Calibri" w:cs="Calibri" w:eastAsia="Calibri" w:hAnsi="Calibri"/>
          <w:color w:val="1A1A1A"/>
          <w:sz w:val="22"/>
          <w:szCs w:val="22"/>
        </w:rPr>
        <w:t xml:space="preserve"> as standard evidence-pack sections. </w:t>
      </w:r>
      <w:r>
        <w:rPr>
          <w:rFonts w:ascii="Calibri" w:cs="Calibri" w:eastAsia="Calibri" w:hAnsi="Calibri"/>
          <w:b/>
          <w:bCs/>
          <w:color w:val="1A1A1A"/>
          <w:sz w:val="22"/>
          <w:szCs w:val="22"/>
        </w:rPr>
        <w:t xml:space="preserve">Step 3 (60–90 days): a self-assessment against DNV-RP-0513</w:t>
      </w:r>
      <w:r>
        <w:rPr>
          <w:rFonts w:ascii="Calibri" w:cs="Calibri" w:eastAsia="Calibri" w:hAnsi="Calibri"/>
          <w:color w:val="1A1A1A"/>
          <w:sz w:val="22"/>
          <w:szCs w:val="22"/>
        </w:rPr>
        <w:t xml:space="preserve"> — write the Simulation Credibility File for NaviSense itself: conceptual model description (MMG formulation, assumptions, validity envelope), code-verification evidence (your gate suite, already strong), validation evidence (benchmark hulls first — Part IX), supplier-maturity narrative. This document is simultaneously your class-society conversation opener and your pilot-customer objection-handler. </w:t>
      </w:r>
      <w:r>
        <w:rPr>
          <w:rFonts w:ascii="Calibri" w:cs="Calibri" w:eastAsia="Calibri" w:hAnsi="Calibri"/>
          <w:b/>
          <w:bCs/>
          <w:color w:val="1A1A1A"/>
          <w:sz w:val="22"/>
          <w:szCs w:val="22"/>
        </w:rPr>
        <w:t xml:space="preserve">Step 4 (H2 2026): open one methodology conversation with a class society</w:t>
      </w:r>
      <w:r>
        <w:rPr>
          <w:rFonts w:ascii="Calibri" w:cs="Calibri" w:eastAsia="Calibri" w:hAnsi="Calibri"/>
          <w:color w:val="1A1A1A"/>
          <w:sz w:val="22"/>
          <w:szCs w:val="22"/>
        </w:rPr>
        <w:t xml:space="preserve"> — DNV is the obvious target given AROS and the Simulation Trust Center; ClassNK's technology-endorsement route [S23] and Bureau Veritas (NI641 lineage [S23]) are alternates where DNV's own competing service creates channel conflict. The realistic near-term artifact is not certification of NaviSense; it is an </w:t>
      </w:r>
      <w:r>
        <w:rPr>
          <w:rFonts w:ascii="Calibri" w:cs="Calibri" w:eastAsia="Calibri" w:hAnsi="Calibri"/>
          <w:i/>
          <w:iCs/>
          <w:color w:val="1A1A1A"/>
          <w:sz w:val="22"/>
          <w:szCs w:val="22"/>
        </w:rPr>
        <w:t xml:space="preserve">Approval in Principle or statement of fact on a simulation-based testing methodology</w:t>
      </w:r>
      <w:r>
        <w:rPr>
          <w:rFonts w:ascii="Calibri" w:cs="Calibri" w:eastAsia="Calibri" w:hAnsi="Calibri"/>
          <w:color w:val="1A1A1A"/>
          <w:sz w:val="22"/>
          <w:szCs w:val="22"/>
        </w:rPr>
        <w:t xml:space="preserve"> for a specific function class (COLREGS conformance of small-vessel navigation autonomy), possibly attached to a pilot customer's project — which is why Steps 1–3 precede it. </w:t>
      </w:r>
      <w:r>
        <w:rPr>
          <w:rFonts w:ascii="Calibri" w:cs="Calibri" w:eastAsia="Calibri" w:hAnsi="Calibri"/>
          <w:b/>
          <w:bCs/>
          <w:color w:val="1A1A1A"/>
          <w:sz w:val="22"/>
          <w:szCs w:val="22"/>
        </w:rPr>
        <w:t xml:space="preserve">Step 5 (2027): EBP posture.</w:t>
      </w:r>
      <w:r>
        <w:rPr>
          <w:rFonts w:ascii="Calibri" w:cs="Calibri" w:eastAsia="Calibri" w:hAnsi="Calibri"/>
          <w:color w:val="1A1A1A"/>
          <w:sz w:val="22"/>
          <w:szCs w:val="22"/>
        </w:rPr>
        <w:t xml:space="preserve"> Track MSC 112's EBP framework; align your evidence-pack export to whatever data formats the EBP converges on, via your flag administration's channel or industry groups (e.g., One Sea). Being the small vendor whose format already fits the EBP submission mold is the single highest-leverage standard-setting move available to you (Part VII). </w:t>
      </w:r>
      <w:r>
        <w:rPr>
          <w:rFonts w:ascii="Calibri" w:cs="Calibri" w:eastAsia="Calibri" w:hAnsi="Calibri"/>
          <w:b/>
          <w:bCs/>
          <w:color w:val="1A1A1A"/>
          <w:sz w:val="22"/>
          <w:szCs w:val="22"/>
        </w:rPr>
        <w:t xml:space="preserve">Step 6 (parallel, UK-specific): the sub-IMO tier.</w:t>
      </w:r>
      <w:r>
        <w:rPr>
          <w:rFonts w:ascii="Calibri" w:cs="Calibri" w:eastAsia="Calibri" w:hAnsi="Calibri"/>
          <w:color w:val="1A1A1A"/>
          <w:sz w:val="22"/>
          <w:szCs w:val="22"/>
        </w:rPr>
        <w:t xml:space="preserve"> Your beachhead customers mostly operate under national workboat/MASS pathways (UK MCA workboat code and MASS guidance; Norwegian and Dutch sandbox regimes) long before the MASS Code binds them; ask them in discovery calls which document they must satisfy, and make the mapping annex address </w:t>
      </w:r>
      <w:r>
        <w:rPr>
          <w:rFonts w:ascii="Calibri" w:cs="Calibri" w:eastAsia="Calibri" w:hAnsi="Calibri"/>
          <w:i/>
          <w:iCs/>
          <w:color w:val="1A1A1A"/>
          <w:sz w:val="22"/>
          <w:szCs w:val="22"/>
        </w:rPr>
        <w:t xml:space="preserve">that</w:t>
      </w:r>
      <w:r>
        <w:rPr>
          <w:rFonts w:ascii="Calibri" w:cs="Calibri" w:eastAsia="Calibri" w:hAnsi="Calibri"/>
          <w:color w:val="1A1A1A"/>
          <w:sz w:val="22"/>
          <w:szCs w:val="22"/>
        </w:rPr>
        <w:t xml:space="preserve"> — the Code mapping is the strategic layer, the national pathway is the sale.</w:t>
      </w:r>
    </w:p>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Part VI — The sim-to-reality gap: an honest accounting and a program</w:t>
      </w:r>
    </w:p>
    <w:p>
      <w:pPr>
        <w:pStyle w:val="Heading2"/>
        <w:spacing w:after="120" w:before="300"/>
      </w:pPr>
      <w:r>
        <w:rPr>
          <w:rFonts w:ascii="Calibri" w:cs="Calibri" w:eastAsia="Calibri" w:hAnsi="Calibri"/>
          <w:b/>
          <w:bCs/>
          <w:color w:val="2E5496"/>
          <w:sz w:val="26"/>
          <w:szCs w:val="26"/>
        </w:rPr>
        <w:t xml:space="preserve">VI.1 Decompose the gap before promising to close it</w:t>
      </w:r>
    </w:p>
    <w:p>
      <w:pPr>
        <w:spacing w:after="160" w:line="276"/>
        <w:jc w:val="both"/>
      </w:pPr>
      <w:r>
        <w:rPr>
          <w:rFonts w:ascii="Calibri" w:cs="Calibri" w:eastAsia="Calibri" w:hAnsi="Calibri"/>
          <w:color w:val="1A1A1A"/>
          <w:sz w:val="22"/>
          <w:szCs w:val="22"/>
        </w:rPr>
        <w:t xml:space="preserve">"The sim-to-real gap" is not one thing; for NaviSense it is six, with very different costs and different relevance per use case. (1) </w:t>
      </w:r>
      <w:r>
        <w:rPr>
          <w:rFonts w:ascii="Calibri" w:cs="Calibri" w:eastAsia="Calibri" w:hAnsi="Calibri"/>
          <w:b/>
          <w:bCs/>
          <w:color w:val="1A1A1A"/>
          <w:sz w:val="22"/>
          <w:szCs w:val="22"/>
        </w:rPr>
        <w:t xml:space="preserve">Model-form error</w:t>
      </w:r>
      <w:r>
        <w:rPr>
          <w:rFonts w:ascii="Calibri" w:cs="Calibri" w:eastAsia="Calibri" w:hAnsi="Calibri"/>
          <w:color w:val="1A1A1A"/>
          <w:sz w:val="22"/>
          <w:szCs w:val="22"/>
        </w:rPr>
        <w:t xml:space="preserve">: the MMG formulation itself — 3-DOF maneuvering with modular hull/propeller/rudder forces — omits wave-drift forces, wind loading fidelity, shallow-water and bank effects, and true seakeeping coupling; your 6-DOF ride is a visual proxy, not a force model. (2) </w:t>
      </w:r>
      <w:r>
        <w:rPr>
          <w:rFonts w:ascii="Calibri" w:cs="Calibri" w:eastAsia="Calibri" w:hAnsi="Calibri"/>
          <w:b/>
          <w:bCs/>
          <w:color w:val="1A1A1A"/>
          <w:sz w:val="22"/>
          <w:szCs w:val="22"/>
        </w:rPr>
        <w:t xml:space="preserve">Parameter error</w:t>
      </w:r>
      <w:r>
        <w:rPr>
          <w:rFonts w:ascii="Calibri" w:cs="Calibri" w:eastAsia="Calibri" w:hAnsi="Calibri"/>
          <w:color w:val="1A1A1A"/>
          <w:sz w:val="22"/>
          <w:szCs w:val="22"/>
        </w:rPr>
        <w:t xml:space="preserve">: DOLPHIN's coefficients are estimated pending CFD; any customer hull arrives with worse. (3) </w:t>
      </w:r>
      <w:r>
        <w:rPr>
          <w:rFonts w:ascii="Calibri" w:cs="Calibri" w:eastAsia="Calibri" w:hAnsi="Calibri"/>
          <w:b/>
          <w:bCs/>
          <w:color w:val="1A1A1A"/>
          <w:sz w:val="22"/>
          <w:szCs w:val="22"/>
        </w:rPr>
        <w:t xml:space="preserve">Environment error</w:t>
      </w:r>
      <w:r>
        <w:rPr>
          <w:rFonts w:ascii="Calibri" w:cs="Calibri" w:eastAsia="Calibri" w:hAnsi="Calibri"/>
          <w:color w:val="1A1A1A"/>
          <w:sz w:val="22"/>
          <w:szCs w:val="22"/>
        </w:rPr>
        <w:t xml:space="preserve">: sea-state presets vs. real directional spectra, gusting wind fields, currents. (4) </w:t>
      </w:r>
      <w:r>
        <w:rPr>
          <w:rFonts w:ascii="Calibri" w:cs="Calibri" w:eastAsia="Calibri" w:hAnsi="Calibri"/>
          <w:b/>
          <w:bCs/>
          <w:color w:val="1A1A1A"/>
          <w:sz w:val="22"/>
          <w:szCs w:val="22"/>
        </w:rPr>
        <w:t xml:space="preserve">Sensor error</w:t>
      </w:r>
      <w:r>
        <w:rPr>
          <w:rFonts w:ascii="Calibri" w:cs="Calibri" w:eastAsia="Calibri" w:hAnsi="Calibri"/>
          <w:color w:val="1A1A1A"/>
          <w:sz w:val="22"/>
          <w:szCs w:val="22"/>
        </w:rPr>
        <w:t xml:space="preserve">: your sensors currently reproduce the sim faithfully (validated corr 1.0000 against the plant) — which by construction says nothing about reality; real GPS multipath, IMU bias walk, radar clutter and sea-state-dependent detection, AIS dropout and quantization are all absent (KI-027 acknowledges this for radar). (5) </w:t>
      </w:r>
      <w:r>
        <w:rPr>
          <w:rFonts w:ascii="Calibri" w:cs="Calibri" w:eastAsia="Calibri" w:hAnsi="Calibri"/>
          <w:b/>
          <w:bCs/>
          <w:color w:val="1A1A1A"/>
          <w:sz w:val="22"/>
          <w:szCs w:val="22"/>
        </w:rPr>
        <w:t xml:space="preserve">Timing/determinism error</w:t>
      </w:r>
      <w:r>
        <w:rPr>
          <w:rFonts w:ascii="Calibri" w:cs="Calibri" w:eastAsia="Calibri" w:hAnsi="Calibri"/>
          <w:color w:val="1A1A1A"/>
          <w:sz w:val="22"/>
          <w:szCs w:val="22"/>
        </w:rPr>
        <w:t xml:space="preserve">: engine-clock divergence under FPS load (KI-012/KI-024 history). (6) </w:t>
      </w:r>
      <w:r>
        <w:rPr>
          <w:rFonts w:ascii="Calibri" w:cs="Calibri" w:eastAsia="Calibri" w:hAnsi="Calibri"/>
          <w:b/>
          <w:bCs/>
          <w:color w:val="1A1A1A"/>
          <w:sz w:val="22"/>
          <w:szCs w:val="22"/>
        </w:rPr>
        <w:t xml:space="preserve">Perception-domain gap</w:t>
      </w:r>
      <w:r>
        <w:rPr>
          <w:rFonts w:ascii="Calibri" w:cs="Calibri" w:eastAsia="Calibri" w:hAnsi="Calibri"/>
          <w:color w:val="1A1A1A"/>
          <w:sz w:val="22"/>
          <w:szCs w:val="22"/>
        </w:rPr>
        <w:t xml:space="preserve">: rendered pixels vs. real cameras — the deepest gap, relevant only if you sell to vision-stack developers.</w:t>
      </w:r>
    </w:p>
    <w:p>
      <w:pPr>
        <w:spacing w:after="160" w:line="276"/>
        <w:jc w:val="both"/>
      </w:pPr>
      <w:r>
        <w:rPr>
          <w:rFonts w:ascii="Calibri" w:cs="Calibri" w:eastAsia="Calibri" w:hAnsi="Calibri"/>
          <w:color w:val="1A1A1A"/>
          <w:sz w:val="22"/>
          <w:szCs w:val="22"/>
        </w:rPr>
        <w:t xml:space="preserve">The strategic insight the decomposition yields: your beachhead use case — COLREGS-level decision and guidance evidence for small vessels — depends overwhelmingly on gaps 1–3 at </w:t>
      </w:r>
      <w:r>
        <w:rPr>
          <w:rFonts w:ascii="Calibri" w:cs="Calibri" w:eastAsia="Calibri" w:hAnsi="Calibri"/>
          <w:i/>
          <w:iCs/>
          <w:color w:val="1A1A1A"/>
          <w:sz w:val="22"/>
          <w:szCs w:val="22"/>
        </w:rPr>
        <w:t xml:space="preserve">low frequencies</w:t>
      </w:r>
      <w:r>
        <w:rPr>
          <w:rFonts w:ascii="Calibri" w:cs="Calibri" w:eastAsia="Calibri" w:hAnsi="Calibri"/>
          <w:color w:val="1A1A1A"/>
          <w:sz w:val="22"/>
          <w:szCs w:val="22"/>
        </w:rPr>
        <w:t xml:space="preserve"> (does the vessel turn, accelerate, and keep way like the real one at maneuvering timescales?) and barely at all on gap 6. This is why the literature finds zero-shot sim-to-real transfer achievable for maritime navigation policies with targeted domain randomization [S24], and why a maneuvering-model-based instrument can be credible for navigation-function evidence long before it can say anything about camera perception. Scope your claims to the gaps you have closed; publish the scoping.</w:t>
      </w:r>
    </w:p>
    <w:p>
      <w:pPr>
        <w:pStyle w:val="Heading2"/>
        <w:spacing w:after="120" w:before="300"/>
      </w:pPr>
      <w:r>
        <w:rPr>
          <w:rFonts w:ascii="Calibri" w:cs="Calibri" w:eastAsia="Calibri" w:hAnsi="Calibri"/>
          <w:b/>
          <w:bCs/>
          <w:color w:val="2E5496"/>
          <w:sz w:val="26"/>
          <w:szCs w:val="26"/>
        </w:rPr>
        <w:t xml:space="preserve">VI.2 The credibility ladder (this is the product roadmap)</w:t>
      </w:r>
    </w:p>
    <w:p>
      <w:pPr>
        <w:spacing w:after="160" w:line="276"/>
        <w:jc w:val="both"/>
      </w:pPr>
      <w:r>
        <w:rPr>
          <w:rFonts w:ascii="Calibri" w:cs="Calibri" w:eastAsia="Calibri" w:hAnsi="Calibri"/>
          <w:b/>
          <w:bCs/>
          <w:color w:val="1A1A1A"/>
          <w:sz w:val="22"/>
          <w:szCs w:val="22"/>
        </w:rPr>
        <w:t xml:space="preserve">Level 0 — Code verification (largely done).</w:t>
      </w:r>
      <w:r>
        <w:rPr>
          <w:rFonts w:ascii="Calibri" w:cs="Calibri" w:eastAsia="Calibri" w:hAnsi="Calibri"/>
          <w:color w:val="1A1A1A"/>
          <w:sz w:val="22"/>
          <w:szCs w:val="22"/>
        </w:rPr>
        <w:t xml:space="preserve"> Your gate suite, negative controls, reproducibility, and integrity manifests are textbook verification ("solving the equations right"). Keep it; write it up as the verification chapter of the Credibility File (V.4).</w:t>
      </w:r>
    </w:p>
    <w:p>
      <w:pPr>
        <w:spacing w:after="160" w:line="276"/>
        <w:jc w:val="both"/>
      </w:pPr>
      <w:r>
        <w:rPr>
          <w:rFonts w:ascii="Calibri" w:cs="Calibri" w:eastAsia="Calibri" w:hAnsi="Calibri"/>
          <w:b/>
          <w:bCs/>
          <w:color w:val="1A1A1A"/>
          <w:sz w:val="22"/>
          <w:szCs w:val="22"/>
        </w:rPr>
        <w:t xml:space="preserve">Level 1 — Benchmark replication (start immediately; free; public).</w:t>
      </w:r>
      <w:r>
        <w:rPr>
          <w:rFonts w:ascii="Calibri" w:cs="Calibri" w:eastAsia="Calibri" w:hAnsi="Calibri"/>
          <w:color w:val="1A1A1A"/>
          <w:sz w:val="22"/>
          <w:szCs w:val="22"/>
        </w:rPr>
        <w:t xml:space="preserve"> Implement one or two standard hulls with </w:t>
      </w:r>
      <w:r>
        <w:rPr>
          <w:rFonts w:ascii="Calibri" w:cs="Calibri" w:eastAsia="Calibri" w:hAnsi="Calibri"/>
          <w:i/>
          <w:iCs/>
          <w:color w:val="1A1A1A"/>
          <w:sz w:val="22"/>
          <w:szCs w:val="22"/>
        </w:rPr>
        <w:t xml:space="preserve">published</w:t>
      </w:r>
      <w:r>
        <w:rPr>
          <w:rFonts w:ascii="Calibri" w:cs="Calibri" w:eastAsia="Calibri" w:hAnsi="Calibri"/>
          <w:color w:val="1A1A1A"/>
          <w:sz w:val="22"/>
          <w:szCs w:val="22"/>
        </w:rPr>
        <w:t xml:space="preserve"> MMG coefficients and tank data — the KVLCC2 tanker is the canonical case with published coefficient sets and free-running results in the open literature, and SIMMAN-workshop-class benchmark data exists for standard hulls. Reproduce turning-circle and zig-zag KPIs; publish the comparison (target: key maneuvering indices within the tolerance bands typical of MMG replications, stated honestly, e.g. advance/tactical diameter within ~5–10% and overshoot angles within a few degrees; report what you get either way). This single move converts "trust me" into "check me," costs nothing but weeks, requires no partners, and becomes the centerpiece of marketing that survives scrutiny (F3's correction). It also decouples credibility from DOLPHIN and its IP entanglement (F4).</w:t>
      </w:r>
    </w:p>
    <w:p>
      <w:pPr>
        <w:spacing w:after="160" w:line="276"/>
        <w:jc w:val="both"/>
      </w:pPr>
      <w:r>
        <w:rPr>
          <w:rFonts w:ascii="Calibri" w:cs="Calibri" w:eastAsia="Calibri" w:hAnsi="Calibri"/>
          <w:b/>
          <w:bCs/>
          <w:color w:val="1A1A1A"/>
          <w:sz w:val="22"/>
          <w:szCs w:val="22"/>
        </w:rPr>
        <w:t xml:space="preserve">Level 2 — DOLPHIN closure (in progress; finish for the case study, not the claim).</w:t>
      </w:r>
      <w:r>
        <w:rPr>
          <w:rFonts w:ascii="Calibri" w:cs="Calibri" w:eastAsia="Calibri" w:hAnsi="Calibri"/>
          <w:color w:val="1A1A1A"/>
          <w:sz w:val="22"/>
          <w:szCs w:val="22"/>
        </w:rPr>
        <w:t xml:space="preserve"> Complete the geometry-v2 fix and the captive CFD campaign; derive coefficients; compare against the current estimates; publish the delta as a worked example of your coefficient-provenance pipeline. DOLPHIN's value is methodological: "here is how a hull enters NaviSense, and here is the audit trail."</w:t>
      </w:r>
    </w:p>
    <w:p>
      <w:pPr>
        <w:spacing w:after="160" w:line="276"/>
        <w:jc w:val="both"/>
      </w:pPr>
      <w:r>
        <w:rPr>
          <w:rFonts w:ascii="Calibri" w:cs="Calibri" w:eastAsia="Calibri" w:hAnsi="Calibri"/>
          <w:b/>
          <w:bCs/>
          <w:color w:val="1A1A1A"/>
          <w:sz w:val="22"/>
          <w:szCs w:val="22"/>
        </w:rPr>
        <w:t xml:space="preserve">Level 3 — Full-scale anchoring (the pilot flywheel).</w:t>
      </w:r>
      <w:r>
        <w:rPr>
          <w:rFonts w:ascii="Calibri" w:cs="Calibri" w:eastAsia="Calibri" w:hAnsi="Calibri"/>
          <w:color w:val="1A1A1A"/>
          <w:sz w:val="22"/>
          <w:szCs w:val="22"/>
        </w:rPr>
        <w:t xml:space="preserve"> Every pilot customer has a real vessel and (often) logged trials. Build the system-identification path: ingest their GNSS/IMU/log data, fit or refine maneuvering coefficients (respecting the known pitfall that treating commanded input as achieved actuation biases derivative estimates [S25]), then report </w:t>
      </w:r>
      <w:r>
        <w:rPr>
          <w:rFonts w:ascii="Calibri" w:cs="Calibri" w:eastAsia="Calibri" w:hAnsi="Calibri"/>
          <w:i/>
          <w:iCs/>
          <w:color w:val="1A1A1A"/>
          <w:sz w:val="22"/>
          <w:szCs w:val="22"/>
        </w:rPr>
        <w:t xml:space="preserve">sim-vs-trial residuals</w:t>
      </w:r>
      <w:r>
        <w:rPr>
          <w:rFonts w:ascii="Calibri" w:cs="Calibri" w:eastAsia="Calibri" w:hAnsi="Calibri"/>
          <w:color w:val="1A1A1A"/>
          <w:sz w:val="22"/>
          <w:szCs w:val="22"/>
        </w:rPr>
        <w:t xml:space="preserve"> — trajectory error metrics, speed/yaw-rate agreement — as a standard dossier chapter. This is the moment the instrument becomes anchored to reality, and it happens per-customer, paid for by the pilot. The literature's standard loop (system ID → simulate → evaluate in sim → evaluate at sea) is exactly your pilot structure [S25].</w:t>
      </w:r>
    </w:p>
    <w:p>
      <w:pPr>
        <w:spacing w:after="160" w:line="276"/>
        <w:jc w:val="both"/>
      </w:pPr>
      <w:r>
        <w:rPr>
          <w:rFonts w:ascii="Calibri" w:cs="Calibri" w:eastAsia="Calibri" w:hAnsi="Calibri"/>
          <w:b/>
          <w:bCs/>
          <w:color w:val="1A1A1A"/>
          <w:sz w:val="22"/>
          <w:szCs w:val="22"/>
        </w:rPr>
        <w:t xml:space="preserve">Level 4 — The validation registry (the compounding moat).</w:t>
      </w:r>
      <w:r>
        <w:rPr>
          <w:rFonts w:ascii="Calibri" w:cs="Calibri" w:eastAsia="Calibri" w:hAnsi="Calibri"/>
          <w:color w:val="1A1A1A"/>
          <w:sz w:val="22"/>
          <w:szCs w:val="22"/>
        </w:rPr>
        <w:t xml:space="preserve"> Anonymized, opt-in aggregation of Level-3 residuals across customers and vessel classes: "for workboat-class hulls of 8–20 m, NaviSense maneuvering predictions carry these error distributions." No competitor at your price point can produce this table; each customer makes it better; and it is the only "shared data" concept (F8) with a built-in incentive. It is also precisely the kind of experience data the IMO's EBP exists to gather [S1][S3].</w:t>
      </w:r>
    </w:p>
    <w:p>
      <w:pPr>
        <w:pStyle w:val="Heading2"/>
        <w:spacing w:after="120" w:before="300"/>
      </w:pPr>
      <w:r>
        <w:rPr>
          <w:rFonts w:ascii="Calibri" w:cs="Calibri" w:eastAsia="Calibri" w:hAnsi="Calibri"/>
          <w:b/>
          <w:bCs/>
          <w:color w:val="2E5496"/>
          <w:sz w:val="26"/>
          <w:szCs w:val="26"/>
        </w:rPr>
        <w:t xml:space="preserve">VI.3 Uncertainty quantification as a feature, not a caveat</w:t>
      </w:r>
    </w:p>
    <w:p>
      <w:pPr>
        <w:spacing w:after="160" w:line="276"/>
        <w:jc w:val="both"/>
      </w:pPr>
      <w:r>
        <w:rPr>
          <w:rFonts w:ascii="Calibri" w:cs="Calibri" w:eastAsia="Calibri" w:hAnsi="Calibri"/>
          <w:color w:val="1A1A1A"/>
          <w:sz w:val="22"/>
          <w:szCs w:val="22"/>
        </w:rPr>
        <w:t xml:space="preserve">Every KPI in every evidence pack gains two fields: a </w:t>
      </w:r>
      <w:r>
        <w:rPr>
          <w:rFonts w:ascii="Calibri" w:cs="Calibri" w:eastAsia="Calibri" w:hAnsi="Calibri"/>
          <w:i/>
          <w:iCs/>
          <w:color w:val="1A1A1A"/>
          <w:sz w:val="22"/>
          <w:szCs w:val="22"/>
        </w:rPr>
        <w:t xml:space="preserve">validity statement</w:t>
      </w:r>
      <w:r>
        <w:rPr>
          <w:rFonts w:ascii="Calibri" w:cs="Calibri" w:eastAsia="Calibri" w:hAnsi="Calibri"/>
          <w:color w:val="1A1A1A"/>
          <w:sz w:val="22"/>
          <w:szCs w:val="22"/>
        </w:rPr>
        <w:t xml:space="preserve"> (the model's assessed envelope — speed range, sea states, water depth, loading condition — outside which the number is flagged extrapolation) and an </w:t>
      </w:r>
      <w:r>
        <w:rPr>
          <w:rFonts w:ascii="Calibri" w:cs="Calibri" w:eastAsia="Calibri" w:hAnsi="Calibri"/>
          <w:i/>
          <w:iCs/>
          <w:color w:val="1A1A1A"/>
          <w:sz w:val="22"/>
          <w:szCs w:val="22"/>
        </w:rPr>
        <w:t xml:space="preserve">uncertainty band</w:t>
      </w:r>
      <w:r>
        <w:rPr>
          <w:rFonts w:ascii="Calibri" w:cs="Calibri" w:eastAsia="Calibri" w:hAnsi="Calibri"/>
          <w:color w:val="1A1A1A"/>
          <w:sz w:val="22"/>
          <w:szCs w:val="22"/>
        </w:rPr>
        <w:t xml:space="preserve"> (from coefficient perturbation: re-run the scenario with coefficients sampled within their provenance-dependent uncertainty — literature estimate ±X%, CFD-derived ±Y%, trial-identified ±Z% — and report the KPI spread; domain randomization over sea state and traffic timing catches scenario brittleness [S24]). A COLREGS verdict that flips within the uncertainty band is reported "marginal," not "compliant" — assessors will trust an instrument that says "marginal" far more than one that never does. This single design decision operationalizes DNV-RP-0513's required-confidence logic inside your product [S7], is technically cheap (your runner already sweeps scenarios), and is a durable differentiator: none of the free simulators and few of the incumbents put calibrated uncertainty on autonomy evidence.</w:t>
      </w:r>
    </w:p>
    <w:p>
      <w:pPr>
        <w:pStyle w:val="Heading2"/>
        <w:spacing w:after="120" w:before="300"/>
      </w:pPr>
      <w:r>
        <w:rPr>
          <w:rFonts w:ascii="Calibri" w:cs="Calibri" w:eastAsia="Calibri" w:hAnsi="Calibri"/>
          <w:b/>
          <w:bCs/>
          <w:color w:val="2E5496"/>
          <w:sz w:val="26"/>
          <w:szCs w:val="26"/>
        </w:rPr>
        <w:t xml:space="preserve">VI.4 What not to claim, ever, until the level is reached</w:t>
      </w:r>
    </w:p>
    <w:p>
      <w:pPr>
        <w:spacing w:after="160" w:line="276"/>
        <w:jc w:val="both"/>
      </w:pPr>
      <w:r>
        <w:rPr>
          <w:rFonts w:ascii="Calibri" w:cs="Calibri" w:eastAsia="Calibri" w:hAnsi="Calibri"/>
          <w:color w:val="1A1A1A"/>
          <w:sz w:val="22"/>
          <w:szCs w:val="22"/>
        </w:rPr>
        <w:t xml:space="preserve">No "validated physics" before Level 1 is public; no "matches sea trials" before a Level-3 customer signs off; no camera-realism claims without paired real/synthetic evaluation (out of scope until 2027+); no "certified," "approved," or "regulatory-grade" without the third-party artifact in hand (F11). Radar/LiDAR/sonar remain labelled "geometric/derived models — not validated sensor physics" exactly as your KI-027 already does. The company that polices its own claims in an assurance market eventually gets to write the claims everyone else is measured against.</w:t>
      </w:r>
    </w:p>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Part VII — "De facto validation platform": what that would actually take</w:t>
      </w:r>
    </w:p>
    <w:p>
      <w:pPr>
        <w:pStyle w:val="Heading2"/>
        <w:spacing w:after="120" w:before="300"/>
      </w:pPr>
      <w:r>
        <w:rPr>
          <w:rFonts w:ascii="Calibri" w:cs="Calibri" w:eastAsia="Calibri" w:hAnsi="Calibri"/>
          <w:b/>
          <w:bCs/>
          <w:color w:val="2E5496"/>
          <w:sz w:val="26"/>
          <w:szCs w:val="26"/>
        </w:rPr>
        <w:t xml:space="preserve">VII.1 How de facto standards are made</w:t>
      </w:r>
    </w:p>
    <w:p>
      <w:pPr>
        <w:spacing w:after="160" w:line="276"/>
        <w:jc w:val="both"/>
      </w:pPr>
      <w:r>
        <w:rPr>
          <w:rFonts w:ascii="Calibri" w:cs="Calibri" w:eastAsia="Calibri" w:hAnsi="Calibri"/>
          <w:color w:val="1A1A1A"/>
          <w:sz w:val="22"/>
          <w:szCs w:val="22"/>
        </w:rPr>
        <w:t xml:space="preserve">Standards are never declared; they are the residue of adoption plus timing plus neutrality. The recurring pattern across ROS (robotics), ASAM OpenSCENARIO/OpenDRIVE (automotive scenario description), and ONNX (ML interchange): an </w:t>
      </w:r>
      <w:r>
        <w:rPr>
          <w:rFonts w:ascii="Calibri" w:cs="Calibri" w:eastAsia="Calibri" w:hAnsi="Calibri"/>
          <w:i/>
          <w:iCs/>
          <w:color w:val="1A1A1A"/>
          <w:sz w:val="22"/>
          <w:szCs w:val="22"/>
        </w:rPr>
        <w:t xml:space="preserve">open artifact</w:t>
      </w:r>
      <w:r>
        <w:rPr>
          <w:rFonts w:ascii="Calibri" w:cs="Calibri" w:eastAsia="Calibri" w:hAnsi="Calibri"/>
          <w:color w:val="1A1A1A"/>
          <w:sz w:val="22"/>
          <w:szCs w:val="22"/>
        </w:rPr>
        <w:t xml:space="preserve"> (format or reference implementation) that removes an integration pain, released at a moment when a wave of new entrants needs shared plumbing, governed neutrally enough that competitors can adopt it, with a commercial anchor whose business benefits from the standard's spread without owning it outright. Maritime autonomy in 2026 has the wave (MASS Code voluntary phase, EBP data-format work starting December [S1][S3]) and conspicuously lacks the artifact: there is no maritime OpenSCENARIO — research groups are hand-porting automotive scenario-generation methods [S22], every simulator has a private scenario format, and the Imazu encounter set circulates as folklore rather than as a versioned benchmark [S21].</w:t>
      </w:r>
    </w:p>
    <w:p>
      <w:pPr>
        <w:pStyle w:val="Heading2"/>
        <w:spacing w:after="120" w:before="300"/>
      </w:pPr>
      <w:r>
        <w:rPr>
          <w:rFonts w:ascii="Calibri" w:cs="Calibri" w:eastAsia="Calibri" w:hAnsi="Calibri"/>
          <w:b/>
          <w:bCs/>
          <w:color w:val="2E5496"/>
          <w:sz w:val="26"/>
          <w:szCs w:val="26"/>
        </w:rPr>
        <w:t xml:space="preserve">VII.2 Your realistic play</w:t>
      </w:r>
    </w:p>
    <w:p>
      <w:pPr>
        <w:spacing w:after="160" w:line="276"/>
        <w:jc w:val="both"/>
      </w:pPr>
      <w:r>
        <w:rPr>
          <w:rFonts w:ascii="Calibri" w:cs="Calibri" w:eastAsia="Calibri" w:hAnsi="Calibri"/>
          <w:color w:val="1A1A1A"/>
          <w:sz w:val="22"/>
          <w:szCs w:val="22"/>
        </w:rPr>
        <w:t xml:space="preserve">You cannot make NaviSense-the-product the standard by 2028 — a solo founder does not out-install Kongsberg, DNV, or Applied Intuition. You </w:t>
      </w:r>
      <w:r>
        <w:rPr>
          <w:rFonts w:ascii="Calibri" w:cs="Calibri" w:eastAsia="Calibri" w:hAnsi="Calibri"/>
          <w:i/>
          <w:iCs/>
          <w:color w:val="1A1A1A"/>
          <w:sz w:val="22"/>
          <w:szCs w:val="22"/>
        </w:rPr>
        <w:t xml:space="preserve">can</w:t>
      </w:r>
      <w:r>
        <w:rPr>
          <w:rFonts w:ascii="Calibri" w:cs="Calibri" w:eastAsia="Calibri" w:hAnsi="Calibri"/>
          <w:color w:val="1A1A1A"/>
          <w:sz w:val="22"/>
          <w:szCs w:val="22"/>
        </w:rPr>
        <w:t xml:space="preserve"> plausibly make NaviSense-the-formats the reference plumbing of the small-vessel verification niche, because you already have the three publishable artifacts: a scenario schema (YAML operational-context + encounter definition), a scoring method (COLREGS conformance with CPA/TCPA and both-ways validation), and an evidence-pack format (manifest, KPIs, provenance, verdicts). The play, in order: (1) </w:t>
      </w:r>
      <w:r>
        <w:rPr>
          <w:rFonts w:ascii="Calibri" w:cs="Calibri" w:eastAsia="Calibri" w:hAnsi="Calibri"/>
          <w:b/>
          <w:bCs/>
          <w:color w:val="1A1A1A"/>
          <w:sz w:val="22"/>
          <w:szCs w:val="22"/>
        </w:rPr>
        <w:t xml:space="preserve">publish the benchmark</w:t>
      </w:r>
      <w:r>
        <w:rPr>
          <w:rFonts w:ascii="Calibri" w:cs="Calibri" w:eastAsia="Calibri" w:hAnsi="Calibri"/>
          <w:color w:val="1A1A1A"/>
          <w:sz w:val="22"/>
          <w:szCs w:val="22"/>
        </w:rPr>
        <w:t xml:space="preserve"> — a versioned "MASS COLREGS Benchmark v1": 10–20 canonical encounters (your matrix plus Imazu multi-ship cases [S21]), machine-readable, with scored reference baselines and a public leaderboard-style results page; free forever; (2) </w:t>
      </w:r>
      <w:r>
        <w:rPr>
          <w:rFonts w:ascii="Calibri" w:cs="Calibri" w:eastAsia="Calibri" w:hAnsi="Calibri"/>
          <w:b/>
          <w:bCs/>
          <w:color w:val="1A1A1A"/>
          <w:sz w:val="22"/>
          <w:szCs w:val="22"/>
        </w:rPr>
        <w:t xml:space="preserve">publish the formats</w:t>
      </w:r>
      <w:r>
        <w:rPr>
          <w:rFonts w:ascii="Calibri" w:cs="Calibri" w:eastAsia="Calibri" w:hAnsi="Calibri"/>
          <w:color w:val="1A1A1A"/>
          <w:sz w:val="22"/>
          <w:szCs w:val="22"/>
        </w:rPr>
        <w:t xml:space="preserve"> under a permissive license with a governance promise (versioned spec, public changelog, third-party implementations welcome — including competitors'); (3) </w:t>
      </w:r>
      <w:r>
        <w:rPr>
          <w:rFonts w:ascii="Calibri" w:cs="Calibri" w:eastAsia="Calibri" w:hAnsi="Calibri"/>
          <w:b/>
          <w:bCs/>
          <w:color w:val="1A1A1A"/>
          <w:sz w:val="22"/>
          <w:szCs w:val="22"/>
        </w:rPr>
        <w:t xml:space="preserve">write the method paper</w:t>
      </w:r>
      <w:r>
        <w:rPr>
          <w:rFonts w:ascii="Calibri" w:cs="Calibri" w:eastAsia="Calibri" w:hAnsi="Calibri"/>
          <w:color w:val="1A1A1A"/>
          <w:sz w:val="22"/>
          <w:szCs w:val="22"/>
        </w:rPr>
        <w:t xml:space="preserve"> with your two design-partner labs — the citation vehicle that makes graduate students the format's distribution channel; (4) </w:t>
      </w:r>
      <w:r>
        <w:rPr>
          <w:rFonts w:ascii="Calibri" w:cs="Calibri" w:eastAsia="Calibri" w:hAnsi="Calibri"/>
          <w:b/>
          <w:bCs/>
          <w:color w:val="1A1A1A"/>
          <w:sz w:val="22"/>
          <w:szCs w:val="22"/>
        </w:rPr>
        <w:t xml:space="preserve">walk it into the regulatory conversation</w:t>
      </w:r>
      <w:r>
        <w:rPr>
          <w:rFonts w:ascii="Calibri" w:cs="Calibri" w:eastAsia="Calibri" w:hAnsi="Calibri"/>
          <w:color w:val="1A1A1A"/>
          <w:sz w:val="22"/>
          <w:szCs w:val="22"/>
        </w:rPr>
        <w:t xml:space="preserve">: as MSC 112 frames EBP data formats, ensure your evidence-pack schema is visible to the people in that room via your flag state, One Sea-type associations, or a class-society partner; a small vendor whose format is already shaped like the EBP's needs gets pulled in rather than pushing; (5) </w:t>
      </w:r>
      <w:r>
        <w:rPr>
          <w:rFonts w:ascii="Calibri" w:cs="Calibri" w:eastAsia="Calibri" w:hAnsi="Calibri"/>
          <w:b/>
          <w:bCs/>
          <w:color w:val="1A1A1A"/>
          <w:sz w:val="22"/>
          <w:szCs w:val="22"/>
        </w:rPr>
        <w:t xml:space="preserve">let the commercial product be the best implementation</w:t>
      </w:r>
      <w:r>
        <w:rPr>
          <w:rFonts w:ascii="Calibri" w:cs="Calibri" w:eastAsia="Calibri" w:hAnsi="Calibri"/>
          <w:color w:val="1A1A1A"/>
          <w:sz w:val="22"/>
          <w:szCs w:val="22"/>
        </w:rPr>
        <w:t xml:space="preserve"> — runners, vessel pipeline, uncertainty engine, registry, support — of the open standard you seeded. This is the corrected open-core split of F9, and it is the only version of "de facto platform" available to a company of one: own the </w:t>
      </w:r>
      <w:r>
        <w:rPr>
          <w:rFonts w:ascii="Calibri" w:cs="Calibri" w:eastAsia="Calibri" w:hAnsi="Calibri"/>
          <w:i/>
          <w:iCs/>
          <w:color w:val="1A1A1A"/>
          <w:sz w:val="22"/>
          <w:szCs w:val="22"/>
        </w:rPr>
        <w:t xml:space="preserve">grammar</w:t>
      </w:r>
      <w:r>
        <w:rPr>
          <w:rFonts w:ascii="Calibri" w:cs="Calibri" w:eastAsia="Calibri" w:hAnsi="Calibri"/>
          <w:color w:val="1A1A1A"/>
          <w:sz w:val="22"/>
          <w:szCs w:val="22"/>
        </w:rPr>
        <w:t xml:space="preserve"> of small-vessel autonomy evidence, sell the </w:t>
      </w:r>
      <w:r>
        <w:rPr>
          <w:rFonts w:ascii="Calibri" w:cs="Calibri" w:eastAsia="Calibri" w:hAnsi="Calibri"/>
          <w:i/>
          <w:iCs/>
          <w:color w:val="1A1A1A"/>
          <w:sz w:val="22"/>
          <w:szCs w:val="22"/>
        </w:rPr>
        <w:t xml:space="preserve">fluency</w:t>
      </w:r>
      <w:r>
        <w:rPr>
          <w:rFonts w:ascii="Calibri" w:cs="Calibri" w:eastAsia="Calibri" w:hAnsi="Calibri"/>
          <w:color w:val="1A1A1A"/>
          <w:sz w:val="22"/>
          <w:szCs w:val="22"/>
        </w:rPr>
        <w:t xml:space="preserve">.</w:t>
      </w:r>
    </w:p>
    <w:p>
      <w:pPr>
        <w:pStyle w:val="Heading2"/>
        <w:spacing w:after="120" w:before="300"/>
      </w:pPr>
      <w:r>
        <w:rPr>
          <w:rFonts w:ascii="Calibri" w:cs="Calibri" w:eastAsia="Calibri" w:hAnsi="Calibri"/>
          <w:b/>
          <w:bCs/>
          <w:color w:val="2E5496"/>
          <w:sz w:val="26"/>
          <w:szCs w:val="26"/>
        </w:rPr>
        <w:t xml:space="preserve">VII.3 Preconditions and honesty</w:t>
      </w:r>
    </w:p>
    <w:p>
      <w:pPr>
        <w:spacing w:after="160" w:line="276"/>
        <w:jc w:val="both"/>
      </w:pPr>
      <w:r>
        <w:rPr>
          <w:rFonts w:ascii="Calibri" w:cs="Calibri" w:eastAsia="Calibri" w:hAnsi="Calibri"/>
          <w:color w:val="1A1A1A"/>
          <w:sz w:val="22"/>
          <w:szCs w:val="22"/>
        </w:rPr>
        <w:t xml:space="preserve">None of VII.2 lands from a Gmail address with zero published validation. Sequencing is strict: entity/domain hygiene (Part X) → Level-1 benchmark validation public (Part VI) → formats published → paper → regulatory visibility. And a falsifiability check belongs here: if, twelve months after the formats publish, no external party — customer, lab, or competitor — has adopted or implemented any of them unprompted, the standard-setting thesis is dead and the company continues as a plain tool/service vendor. That is a fine business; it is just not a platform, and Part XI's kill criteria treat it accordingly.</w:t>
      </w:r>
    </w:p>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Part VIII — Scalability and architecture plan</w:t>
      </w:r>
    </w:p>
    <w:p>
      <w:pPr>
        <w:pStyle w:val="Heading2"/>
        <w:spacing w:after="120" w:before="300"/>
      </w:pPr>
      <w:r>
        <w:rPr>
          <w:rFonts w:ascii="Calibri" w:cs="Calibri" w:eastAsia="Calibri" w:hAnsi="Calibri"/>
          <w:b/>
          <w:bCs/>
          <w:color w:val="2E5496"/>
          <w:sz w:val="26"/>
          <w:szCs w:val="26"/>
        </w:rPr>
        <w:t xml:space="preserve">VIII.1 The split that everything else depends on</w:t>
      </w:r>
    </w:p>
    <w:p>
      <w:pPr>
        <w:spacing w:after="160" w:line="276"/>
        <w:jc w:val="both"/>
      </w:pPr>
      <w:r>
        <w:rPr>
          <w:rFonts w:ascii="Calibri" w:cs="Calibri" w:eastAsia="Calibri" w:hAnsi="Calibri"/>
          <w:color w:val="1A1A1A"/>
          <w:sz w:val="22"/>
          <w:szCs w:val="22"/>
        </w:rPr>
        <w:t xml:space="preserve">Formalize two products from the existing tree. </w:t>
      </w:r>
      <w:r>
        <w:rPr>
          <w:rFonts w:ascii="Calibri" w:cs="Calibri" w:eastAsia="Calibri" w:hAnsi="Calibri"/>
          <w:b/>
          <w:bCs/>
          <w:color w:val="1A1A1A"/>
          <w:sz w:val="22"/>
          <w:szCs w:val="22"/>
        </w:rPr>
        <w:t xml:space="preserve">`navisense-core`</w:t>
      </w:r>
      <w:r>
        <w:rPr>
          <w:rFonts w:ascii="Calibri" w:cs="Calibri" w:eastAsia="Calibri" w:hAnsi="Calibri"/>
          <w:color w:val="1A1A1A"/>
          <w:sz w:val="22"/>
          <w:szCs w:val="22"/>
        </w:rPr>
        <w:t xml:space="preserve"> (pure Python, pip-installable, semver): MMG plant + vessel-profile loader, scenario engine + sea-state scheduler, autopilot/controller library, COLREGS scorer, run logger + canonical clock, evidence-pack generator + regulatory-mapping annex, uncertainty engine (VI.3), verification-gate framework. No Unreal import anywhere in it — this is 80% true today; finish it and freeze the boundary with the bridge protocol (</w:t>
      </w:r>
      <w:r>
        <w:rPr>
          <w:rFonts w:ascii="Consolas" w:cs="Consolas" w:eastAsia="Consolas" w:hAnsi="Consolas"/>
          <w:color w:val="7A2E2E"/>
          <w:sz w:val="20"/>
          <w:szCs w:val="20"/>
        </w:rPr>
        <w:t xml:space="preserve">sensor.v1</w:t>
      </w:r>
      <w:r>
        <w:rPr>
          <w:rFonts w:ascii="Calibri" w:cs="Calibri" w:eastAsia="Calibri" w:hAnsi="Calibri"/>
          <w:color w:val="1A1A1A"/>
          <w:sz w:val="22"/>
          <w:szCs w:val="22"/>
        </w:rPr>
        <w:t xml:space="preserve">/actuation messages) as the only contract. </w:t>
      </w:r>
      <w:r>
        <w:rPr>
          <w:rFonts w:ascii="Calibri" w:cs="Calibri" w:eastAsia="Calibri" w:hAnsi="Calibri"/>
          <w:b/>
          <w:bCs/>
          <w:color w:val="1A1A1A"/>
          <w:sz w:val="22"/>
          <w:szCs w:val="22"/>
        </w:rPr>
        <w:t xml:space="preserve">`navisense-view`</w:t>
      </w:r>
      <w:r>
        <w:rPr>
          <w:rFonts w:ascii="Calibri" w:cs="Calibri" w:eastAsia="Calibri" w:hAnsi="Calibri"/>
          <w:color w:val="1A1A1A"/>
          <w:sz w:val="22"/>
          <w:szCs w:val="22"/>
        </w:rPr>
        <w:t xml:space="preserve"> (the UE 5.7 project): renderer, Cesium worlds, sensor visualizations, wake VFX, dashboard — a </w:t>
      </w:r>
      <w:r>
        <w:rPr>
          <w:rFonts w:ascii="Calibri" w:cs="Calibri" w:eastAsia="Calibri" w:hAnsi="Calibri"/>
          <w:i/>
          <w:iCs/>
          <w:color w:val="1A1A1A"/>
          <w:sz w:val="22"/>
          <w:szCs w:val="22"/>
        </w:rPr>
        <w:t xml:space="preserve">client</w:t>
      </w:r>
      <w:r>
        <w:rPr>
          <w:rFonts w:ascii="Calibri" w:cs="Calibri" w:eastAsia="Calibri" w:hAnsi="Calibri"/>
          <w:color w:val="1A1A1A"/>
          <w:sz w:val="22"/>
          <w:szCs w:val="22"/>
        </w:rPr>
        <w:t xml:space="preserve"> of core, versioned separately, optional for every headless workflow. Consequences: CI becomes trivial for core (your gate scripts are already the test suite — wire them to GitHub Actions on push, closing the "nightly not wired" gap); packaging/licensing attach to core; GPU costs exit the product's critical path; determinism (KI-012) becomes a view-layer concern that cannot contaminate evidence; and a future second renderer (or a customer's own visualization) costs nothing architecturally.</w:t>
      </w:r>
    </w:p>
    <w:p>
      <w:pPr>
        <w:pStyle w:val="Heading2"/>
        <w:spacing w:after="120" w:before="300"/>
      </w:pPr>
      <w:r>
        <w:rPr>
          <w:rFonts w:ascii="Calibri" w:cs="Calibri" w:eastAsia="Calibri" w:hAnsi="Calibri"/>
          <w:b/>
          <w:bCs/>
          <w:color w:val="2E5496"/>
          <w:sz w:val="26"/>
          <w:szCs w:val="26"/>
        </w:rPr>
        <w:t xml:space="preserve">VIII.2 Vessel scalability: from one yacht to any hull</w:t>
      </w:r>
    </w:p>
    <w:p>
      <w:pPr>
        <w:spacing w:after="160" w:line="276"/>
        <w:jc w:val="both"/>
      </w:pPr>
      <w:r>
        <w:rPr>
          <w:rFonts w:ascii="Calibri" w:cs="Calibri" w:eastAsia="Calibri" w:hAnsi="Calibri"/>
          <w:color w:val="1A1A1A"/>
          <w:sz w:val="22"/>
          <w:szCs w:val="22"/>
        </w:rPr>
        <w:t xml:space="preserve">The unit of scale is the </w:t>
      </w:r>
      <w:r>
        <w:rPr>
          <w:rFonts w:ascii="Calibri" w:cs="Calibri" w:eastAsia="Calibri" w:hAnsi="Calibri"/>
          <w:b/>
          <w:bCs/>
          <w:color w:val="1A1A1A"/>
          <w:sz w:val="22"/>
          <w:szCs w:val="22"/>
        </w:rPr>
        <w:t xml:space="preserve">vessel profile</w:t>
      </w:r>
      <w:r>
        <w:rPr>
          <w:rFonts w:ascii="Calibri" w:cs="Calibri" w:eastAsia="Calibri" w:hAnsi="Calibri"/>
          <w:color w:val="1A1A1A"/>
          <w:sz w:val="22"/>
          <w:szCs w:val="22"/>
        </w:rPr>
        <w:t xml:space="preserve">: a versioned data artifact (YAML) holding particulars, MMG coefficients, actuator models, and — critically — </w:t>
      </w:r>
      <w:r>
        <w:rPr>
          <w:rFonts w:ascii="Calibri" w:cs="Calibri" w:eastAsia="Calibri" w:hAnsi="Calibri"/>
          <w:i/>
          <w:iCs/>
          <w:color w:val="1A1A1A"/>
          <w:sz w:val="22"/>
          <w:szCs w:val="22"/>
        </w:rPr>
        <w:t xml:space="preserve">provenance metadata per coefficient group</w:t>
      </w:r>
      <w:r>
        <w:rPr>
          <w:rFonts w:ascii="Calibri" w:cs="Calibri" w:eastAsia="Calibri" w:hAnsi="Calibri"/>
          <w:color w:val="1A1A1A"/>
          <w:sz w:val="22"/>
          <w:szCs w:val="22"/>
        </w:rPr>
        <w:t xml:space="preserve"> (source: literature / estimated / CFD / trial-identified; date; uncertainty class), which the uncertainty engine consumes directly. Three intake paths, in ascending price: customer-supplied coefficients (validate format, run); literature/estimation service (empirical methods with declared uncertainty); full CFD/system-ID service (your MMG-model-tests pipeline productized, with the DOLPHIN campaign as the worked example). Interoperability note: the maritime co-simulation world (DNV, Kongsberg, NTNU lineage) standardized on FMI-based co-simulation via the Open Simulation Platform; keep it on the roadmap as an import/export target rather than a dependency — speaking even a subset buys instant credibility with the Norwegian cluster, but do not re-architect around it pre-revenue.</w:t>
      </w:r>
    </w:p>
    <w:p>
      <w:pPr>
        <w:pStyle w:val="Heading2"/>
        <w:spacing w:after="120" w:before="300"/>
      </w:pPr>
      <w:r>
        <w:rPr>
          <w:rFonts w:ascii="Calibri" w:cs="Calibri" w:eastAsia="Calibri" w:hAnsi="Calibri"/>
          <w:b/>
          <w:bCs/>
          <w:color w:val="2E5496"/>
          <w:sz w:val="26"/>
          <w:szCs w:val="26"/>
        </w:rPr>
        <w:t xml:space="preserve">VIII.3 Multi-user without a platform buildout</w:t>
      </w:r>
    </w:p>
    <w:p>
      <w:pPr>
        <w:spacing w:after="160" w:line="276"/>
        <w:jc w:val="both"/>
      </w:pPr>
      <w:r>
        <w:rPr>
          <w:rFonts w:ascii="Calibri" w:cs="Calibri" w:eastAsia="Calibri" w:hAnsi="Calibri"/>
          <w:color w:val="1A1A1A"/>
          <w:sz w:val="22"/>
          <w:szCs w:val="22"/>
        </w:rPr>
        <w:t xml:space="preserve">Resist the multi-tenant web platform until pilots demand it. Sequence: (1) </w:t>
      </w:r>
      <w:r>
        <w:rPr>
          <w:rFonts w:ascii="Calibri" w:cs="Calibri" w:eastAsia="Calibri" w:hAnsi="Calibri"/>
          <w:b/>
          <w:bCs/>
          <w:color w:val="1A1A1A"/>
          <w:sz w:val="22"/>
          <w:szCs w:val="22"/>
        </w:rPr>
        <w:t xml:space="preserve">single-user packaged</w:t>
      </w:r>
      <w:r>
        <w:rPr>
          <w:rFonts w:ascii="Calibri" w:cs="Calibri" w:eastAsia="Calibri" w:hAnsi="Calibri"/>
          <w:color w:val="1A1A1A"/>
          <w:sz w:val="22"/>
          <w:szCs w:val="22"/>
        </w:rPr>
        <w:t xml:space="preserve"> — pip package + license key + packaged Win64 view build (your M8/M9), which serves every 2026 pilot; (2) </w:t>
      </w:r>
      <w:r>
        <w:rPr>
          <w:rFonts w:ascii="Calibri" w:cs="Calibri" w:eastAsia="Calibri" w:hAnsi="Calibri"/>
          <w:b/>
          <w:bCs/>
          <w:color w:val="1A1A1A"/>
          <w:sz w:val="22"/>
          <w:szCs w:val="22"/>
        </w:rPr>
        <w:t xml:space="preserve">team batch</w:t>
      </w:r>
      <w:r>
        <w:rPr>
          <w:rFonts w:ascii="Calibri" w:cs="Calibri" w:eastAsia="Calibri" w:hAnsi="Calibri"/>
          <w:color w:val="1A1A1A"/>
          <w:sz w:val="22"/>
          <w:szCs w:val="22"/>
        </w:rPr>
        <w:t xml:space="preserve"> — containerized headless core (it is stdlib-plus-wheels Python; Linux container is days of work) with a simple job-queue CLI (</w:t>
      </w:r>
      <w:r>
        <w:rPr>
          <w:rFonts w:ascii="Consolas" w:cs="Consolas" w:eastAsia="Consolas" w:hAnsi="Consolas"/>
          <w:color w:val="7A2E2E"/>
          <w:sz w:val="20"/>
          <w:szCs w:val="20"/>
        </w:rPr>
        <w:t xml:space="preserve">run_matrix.py</w:t>
      </w:r>
      <w:r>
        <w:rPr>
          <w:rFonts w:ascii="Calibri" w:cs="Calibri" w:eastAsia="Calibri" w:hAnsi="Calibri"/>
          <w:color w:val="1A1A1A"/>
          <w:sz w:val="22"/>
          <w:szCs w:val="22"/>
        </w:rPr>
        <w:t xml:space="preserve"> over a scenarios directory), results to a shared store; runs.csv graduates to SQLite/Postgres when a second concurrent writer appears, not before; (3) </w:t>
      </w:r>
      <w:r>
        <w:rPr>
          <w:rFonts w:ascii="Calibri" w:cs="Calibri" w:eastAsia="Calibri" w:hAnsi="Calibri"/>
          <w:b/>
          <w:bCs/>
          <w:color w:val="1A1A1A"/>
          <w:sz w:val="22"/>
          <w:szCs w:val="22"/>
        </w:rPr>
        <w:t xml:space="preserve">hosted evidence</w:t>
      </w:r>
      <w:r>
        <w:rPr>
          <w:rFonts w:ascii="Calibri" w:cs="Calibri" w:eastAsia="Calibri" w:hAnsi="Calibri"/>
          <w:color w:val="1A1A1A"/>
          <w:sz w:val="22"/>
          <w:szCs w:val="22"/>
        </w:rPr>
        <w:t xml:space="preserve"> (2027, if pulled): a thin web viewer over evidence packs with org accounts — the first genuinely multi-user surface, and the natural home of the validation registry (VI.2 L4) and benchmark leaderboard (VII.2). Auth, tenancy, and sharing land here, after revenue, shaped by real pilot behavior instead of guesses. This sequencing spends roughly nothing before it must and keeps the solo-founder maintenance surface proportional to income.</w:t>
      </w:r>
    </w:p>
    <w:p>
      <w:pPr>
        <w:pStyle w:val="Heading2"/>
        <w:spacing w:after="120" w:before="300"/>
      </w:pPr>
      <w:r>
        <w:rPr>
          <w:rFonts w:ascii="Calibri" w:cs="Calibri" w:eastAsia="Calibri" w:hAnsi="Calibri"/>
          <w:b/>
          <w:bCs/>
          <w:color w:val="2E5496"/>
          <w:sz w:val="26"/>
          <w:szCs w:val="26"/>
        </w:rPr>
        <w:t xml:space="preserve">VIII.4 Operational scalability (the founder is the bottleneck)</w:t>
      </w:r>
    </w:p>
    <w:p>
      <w:pPr>
        <w:spacing w:after="160" w:line="276"/>
        <w:jc w:val="both"/>
      </w:pPr>
      <w:r>
        <w:rPr>
          <w:rFonts w:ascii="Calibri" w:cs="Calibri" w:eastAsia="Calibri" w:hAnsi="Calibri"/>
          <w:color w:val="1A1A1A"/>
          <w:sz w:val="22"/>
          <w:szCs w:val="22"/>
        </w:rPr>
        <w:t xml:space="preserve">Three mechanical fixes: an off-machine git remote plus automated backup </w:t>
      </w:r>
      <w:r>
        <w:rPr>
          <w:rFonts w:ascii="Calibri" w:cs="Calibri" w:eastAsia="Calibri" w:hAnsi="Calibri"/>
          <w:i/>
          <w:iCs/>
          <w:color w:val="1A1A1A"/>
          <w:sz w:val="22"/>
          <w:szCs w:val="22"/>
        </w:rPr>
        <w:t xml:space="preserve">this week</w:t>
      </w:r>
      <w:r>
        <w:rPr>
          <w:rFonts w:ascii="Calibri" w:cs="Calibri" w:eastAsia="Calibri" w:hAnsi="Calibri"/>
          <w:color w:val="1A1A1A"/>
          <w:sz w:val="22"/>
          <w:szCs w:val="22"/>
        </w:rPr>
        <w:t xml:space="preserve"> (KI-006 is an existential, not technical, item); CI for core gates on every push (removes you as the nightly); and issue/docs templates before any external user exists (your future support burden is set by the first cohort's onboarding quality — the &lt;30-minute install test you already defined is the right gate). The first hire, triggered per your own plan by meaningful revenue, should be an applied simulation engineer who can own vessel-profile intake and pilot delivery — the revenue-critical path — not a graphics or platform engineer.</w:t>
      </w:r>
    </w:p>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Part IX — Validation strategy for the product itself</w:t>
      </w:r>
    </w:p>
    <w:p>
      <w:pPr>
        <w:spacing w:after="160" w:line="276"/>
        <w:jc w:val="both"/>
      </w:pPr>
      <w:r>
        <w:rPr>
          <w:rFonts w:ascii="Calibri" w:cs="Calibri" w:eastAsia="Calibri" w:hAnsi="Calibri"/>
          <w:color w:val="1A1A1A"/>
          <w:sz w:val="22"/>
          <w:szCs w:val="22"/>
        </w:rPr>
        <w:t xml:space="preserve">This consolidates Part VI's ladder into a program with owners (you), dates, costs, and acceptance criteria — the format an assessor, grant reviewer, or design partner will ask for. It doubles as the skeleton of the DNV-RP-0513-style Credibility File (V.4).</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86"/>
        <w:gridCol w:w="1322"/>
        <w:gridCol w:w="3304"/>
        <w:gridCol w:w="991"/>
        <w:gridCol w:w="1817"/>
      </w:tblGrid>
      <w:tr>
        <w:trPr>
          <w:tblHeader/>
        </w:trPr>
        <w:tc>
          <w:tcPr>
            <w:tcW w:type="dxa" w:w="1586"/>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Tier</w:t>
            </w:r>
          </w:p>
        </w:tc>
        <w:tc>
          <w:tcPr>
            <w:tcW w:type="dxa" w:w="1322"/>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Activity</w:t>
            </w:r>
          </w:p>
        </w:tc>
        <w:tc>
          <w:tcPr>
            <w:tcW w:type="dxa" w:w="3304"/>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Acceptance criterion</w:t>
            </w:r>
          </w:p>
        </w:tc>
        <w:tc>
          <w:tcPr>
            <w:tcW w:type="dxa" w:w="991"/>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Cost</w:t>
            </w:r>
          </w:p>
        </w:tc>
        <w:tc>
          <w:tcPr>
            <w:tcW w:type="dxa" w:w="1817"/>
            <w:shd w:fill="D9E2F1" w:val="clear"/>
            <w:tcMar>
              <w:top w:type="dxa" w:w="60"/>
              <w:left w:type="dxa" w:w="80"/>
              <w:bottom w:type="dxa" w:w="60"/>
              <w:right w:type="dxa" w:w="80"/>
            </w:tcMar>
            <w:vAlign w:val="center"/>
          </w:tcPr>
          <w:p>
            <w:pPr>
              <w:spacing w:after="0"/>
              <w:jc w:val="left"/>
            </w:pPr>
            <w:r>
              <w:rPr>
                <w:rFonts w:ascii="Calibri" w:cs="Calibri" w:eastAsia="Calibri" w:hAnsi="Calibri"/>
                <w:b/>
                <w:bCs/>
                <w:color w:val="1A1A1A"/>
                <w:sz w:val="18"/>
                <w:szCs w:val="18"/>
              </w:rPr>
              <w:t xml:space="preserve">Target date</w:t>
            </w:r>
          </w:p>
        </w:tc>
      </w:tr>
      <w:tr>
        <w:trPr>
          <w:tblHeader w:val="false"/>
        </w:trPr>
        <w:tc>
          <w:tcPr>
            <w:tcW w:type="dxa" w:w="158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V0 Verification</w:t>
            </w:r>
          </w:p>
        </w:tc>
        <w:tc>
          <w:tcPr>
            <w:tcW w:type="dxa" w:w="132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Consolidate gate suite into CI; document code-verification chapter</w:t>
            </w:r>
          </w:p>
        </w:tc>
        <w:tc>
          <w:tcPr>
            <w:tcW w:type="dxa" w:w="3304"/>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All core gates green on every push; chapter drafted</w:t>
            </w:r>
          </w:p>
        </w:tc>
        <w:tc>
          <w:tcPr>
            <w:tcW w:type="dxa" w:w="9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€0</w:t>
            </w:r>
          </w:p>
        </w:tc>
        <w:tc>
          <w:tcPr>
            <w:tcW w:type="dxa" w:w="181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Aug 2026</w:t>
            </w:r>
          </w:p>
        </w:tc>
      </w:tr>
      <w:tr>
        <w:trPr>
          <w:tblHeader w:val="false"/>
        </w:trPr>
        <w:tc>
          <w:tcPr>
            <w:tcW w:type="dxa" w:w="158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V1 Benchmark</w:t>
            </w:r>
          </w:p>
        </w:tc>
        <w:tc>
          <w:tcPr>
            <w:tcW w:type="dxa" w:w="132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KVLCC2 (and optionally a second standard hull) MMG replication vs. published tank/free-running data</w:t>
            </w:r>
          </w:p>
        </w:tc>
        <w:tc>
          <w:tcPr>
            <w:tcW w:type="dxa" w:w="3304"/>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Turning-circle advance/tactical diameter and zig-zag overshoots within declared tolerance of published values; full comparison published openly, discrepancies discussed</w:t>
            </w:r>
          </w:p>
        </w:tc>
        <w:tc>
          <w:tcPr>
            <w:tcW w:type="dxa" w:w="9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€0 (weeks of time)</w:t>
            </w:r>
          </w:p>
        </w:tc>
        <w:tc>
          <w:tcPr>
            <w:tcW w:type="dxa" w:w="181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Sep–Oct 2026</w:t>
            </w:r>
          </w:p>
        </w:tc>
      </w:tr>
      <w:tr>
        <w:trPr>
          <w:tblHeader w:val="false"/>
        </w:trPr>
        <w:tc>
          <w:tcPr>
            <w:tcW w:type="dxa" w:w="158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V2 DOLPHIN closure</w:t>
            </w:r>
          </w:p>
        </w:tc>
        <w:tc>
          <w:tcPr>
            <w:tcW w:type="dxa" w:w="132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Geometry v2 + captive CFD → coefficients → KPI delta vs. current estimates</w:t>
            </w:r>
          </w:p>
        </w:tc>
        <w:tc>
          <w:tcPr>
            <w:tcW w:type="dxa" w:w="3304"/>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Coefficient set with provenance metadata; before/after KPI table published as methodology case study</w:t>
            </w:r>
          </w:p>
        </w:tc>
        <w:tc>
          <w:tcPr>
            <w:tcW w:type="dxa" w:w="9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Compute time</w:t>
            </w:r>
          </w:p>
        </w:tc>
        <w:tc>
          <w:tcPr>
            <w:tcW w:type="dxa" w:w="181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Q4 2026</w:t>
            </w:r>
          </w:p>
        </w:tc>
      </w:tr>
      <w:tr>
        <w:trPr>
          <w:tblHeader w:val="false"/>
        </w:trPr>
        <w:tc>
          <w:tcPr>
            <w:tcW w:type="dxa" w:w="158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V3 Full-scale anchoring</w:t>
            </w:r>
          </w:p>
        </w:tc>
        <w:tc>
          <w:tcPr>
            <w:tcW w:type="dxa" w:w="132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Pilot-customer trial-log ingestion; system ID; sim-vs-trial residual chapter in dossier</w:t>
            </w:r>
          </w:p>
        </w:tc>
        <w:tc>
          <w:tcPr>
            <w:tcW w:type="dxa" w:w="3304"/>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Residual metrics (trajectory error, speed/yaw-rate agreement) reported per pilot with customer sign-off; method avoids the commanded-vs-achieved actuation bias [S25]</w:t>
            </w:r>
          </w:p>
        </w:tc>
        <w:tc>
          <w:tcPr>
            <w:tcW w:type="dxa" w:w="9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Funded by pilot</w:t>
            </w:r>
          </w:p>
        </w:tc>
        <w:tc>
          <w:tcPr>
            <w:tcW w:type="dxa" w:w="181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First pilot, Q4 2026–Q1 2027</w:t>
            </w:r>
          </w:p>
        </w:tc>
      </w:tr>
      <w:tr>
        <w:trPr>
          <w:tblHeader w:val="false"/>
        </w:trPr>
        <w:tc>
          <w:tcPr>
            <w:tcW w:type="dxa" w:w="158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V4 Registry</w:t>
            </w:r>
          </w:p>
        </w:tc>
        <w:tc>
          <w:tcPr>
            <w:tcW w:type="dxa" w:w="132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Anonymized cross-customer residual/benchmark registry; uncertainty engine consumes it</w:t>
            </w:r>
          </w:p>
        </w:tc>
        <w:tc>
          <w:tcPr>
            <w:tcW w:type="dxa" w:w="3304"/>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≥3 vessels contributing; per-class error distributions published to participants</w:t>
            </w:r>
          </w:p>
        </w:tc>
        <w:tc>
          <w:tcPr>
            <w:tcW w:type="dxa" w:w="9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Marginal</w:t>
            </w:r>
          </w:p>
        </w:tc>
        <w:tc>
          <w:tcPr>
            <w:tcW w:type="dxa" w:w="181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2027</w:t>
            </w:r>
          </w:p>
        </w:tc>
      </w:tr>
      <w:tr>
        <w:trPr>
          <w:tblHeader w:val="false"/>
        </w:trPr>
        <w:tc>
          <w:tcPr>
            <w:tcW w:type="dxa" w:w="1586"/>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V5 Third party</w:t>
            </w:r>
          </w:p>
        </w:tc>
        <w:tc>
          <w:tcPr>
            <w:tcW w:type="dxa" w:w="1322"/>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Class-society review of methodology (AiP or statement of fact); design-partner lab replication + method paper</w:t>
            </w:r>
          </w:p>
        </w:tc>
        <w:tc>
          <w:tcPr>
            <w:tcW w:type="dxa" w:w="3304"/>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Named third-party artifact exists; paper submitted with external co-authors</w:t>
            </w:r>
          </w:p>
        </w:tc>
        <w:tc>
          <w:tcPr>
            <w:tcW w:type="dxa" w:w="991"/>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€5–15k + time</w:t>
            </w:r>
          </w:p>
        </w:tc>
        <w:tc>
          <w:tcPr>
            <w:tcW w:type="dxa" w:w="1817"/>
            <w:tcMar>
              <w:top w:type="dxa" w:w="60"/>
              <w:left w:type="dxa" w:w="80"/>
              <w:bottom w:type="dxa" w:w="60"/>
              <w:right w:type="dxa" w:w="80"/>
            </w:tcMar>
            <w:vAlign w:val="center"/>
          </w:tcPr>
          <w:p>
            <w:pPr>
              <w:spacing w:after="0"/>
              <w:jc w:val="left"/>
            </w:pPr>
            <w:r>
              <w:rPr>
                <w:rFonts w:ascii="Calibri" w:cs="Calibri" w:eastAsia="Calibri" w:hAnsi="Calibri"/>
                <w:color w:val="1A1A1A"/>
                <w:sz w:val="18"/>
                <w:szCs w:val="18"/>
              </w:rPr>
              <w:t xml:space="preserve">2027</w:t>
            </w:r>
          </w:p>
        </w:tc>
      </w:tr>
    </w:tbl>
    <w:p>
      <w:pPr>
        <w:spacing w:after="120"/>
      </w:pPr>
    </w:p>
    <w:p>
      <w:pPr>
        <w:spacing w:after="160" w:line="276"/>
        <w:jc w:val="both"/>
      </w:pPr>
      <w:r>
        <w:rPr>
          <w:rFonts w:ascii="Calibri" w:cs="Calibri" w:eastAsia="Calibri" w:hAnsi="Calibri"/>
          <w:color w:val="1A1A1A"/>
          <w:sz w:val="22"/>
          <w:szCs w:val="22"/>
        </w:rPr>
        <w:t xml:space="preserve">Three governing rules. </w:t>
      </w:r>
      <w:r>
        <w:rPr>
          <w:rFonts w:ascii="Calibri" w:cs="Calibri" w:eastAsia="Calibri" w:hAnsi="Calibri"/>
          <w:b/>
          <w:bCs/>
          <w:color w:val="1A1A1A"/>
          <w:sz w:val="22"/>
          <w:szCs w:val="22"/>
        </w:rPr>
        <w:t xml:space="preserve">Publish negative results</w:t>
      </w:r>
      <w:r>
        <w:rPr>
          <w:rFonts w:ascii="Calibri" w:cs="Calibri" w:eastAsia="Calibri" w:hAnsi="Calibri"/>
          <w:color w:val="1A1A1A"/>
          <w:sz w:val="22"/>
          <w:szCs w:val="22"/>
        </w:rPr>
        <w:t xml:space="preserve">: if V1 lands outside tolerance, the published discussion of why (coefficient sensitivity, formulation limits) earns more credibility in this industry than a suspiciously clean pass — and your existing culture of watermarking partial artifacts is exactly this instinct, promoted to strategy. </w:t>
      </w:r>
      <w:r>
        <w:rPr>
          <w:rFonts w:ascii="Calibri" w:cs="Calibri" w:eastAsia="Calibri" w:hAnsi="Calibri"/>
          <w:b/>
          <w:bCs/>
          <w:color w:val="1A1A1A"/>
          <w:sz w:val="22"/>
          <w:szCs w:val="22"/>
        </w:rPr>
        <w:t xml:space="preserve">Claims trail evidence by one tier</w:t>
      </w:r>
      <w:r>
        <w:rPr>
          <w:rFonts w:ascii="Calibri" w:cs="Calibri" w:eastAsia="Calibri" w:hAnsi="Calibri"/>
          <w:color w:val="1A1A1A"/>
          <w:sz w:val="22"/>
          <w:szCs w:val="22"/>
        </w:rPr>
        <w:t xml:space="preserve">: marketing may state what the </w:t>
      </w:r>
      <w:r>
        <w:rPr>
          <w:rFonts w:ascii="Calibri" w:cs="Calibri" w:eastAsia="Calibri" w:hAnsi="Calibri"/>
          <w:i/>
          <w:iCs/>
          <w:color w:val="1A1A1A"/>
          <w:sz w:val="22"/>
          <w:szCs w:val="22"/>
        </w:rPr>
        <w:t xml:space="preserve">previous</w:t>
      </w:r>
      <w:r>
        <w:rPr>
          <w:rFonts w:ascii="Calibri" w:cs="Calibri" w:eastAsia="Calibri" w:hAnsi="Calibri"/>
          <w:color w:val="1A1A1A"/>
          <w:sz w:val="22"/>
          <w:szCs w:val="22"/>
        </w:rPr>
        <w:t xml:space="preserve"> tier proved, never the current one's ambitions (this rule retires F3/F11 permanently). </w:t>
      </w:r>
      <w:r>
        <w:rPr>
          <w:rFonts w:ascii="Calibri" w:cs="Calibri" w:eastAsia="Calibri" w:hAnsi="Calibri"/>
          <w:b/>
          <w:bCs/>
          <w:color w:val="1A1A1A"/>
          <w:sz w:val="22"/>
          <w:szCs w:val="22"/>
        </w:rPr>
        <w:t xml:space="preserve">Every tier produces a public artifact</w:t>
      </w:r>
      <w:r>
        <w:rPr>
          <w:rFonts w:ascii="Calibri" w:cs="Calibri" w:eastAsia="Calibri" w:hAnsi="Calibri"/>
          <w:color w:val="1A1A1A"/>
          <w:sz w:val="22"/>
          <w:szCs w:val="22"/>
        </w:rPr>
        <w:t xml:space="preserve"> — comparison page, case study, dossier chapter template, registry note, or paper — because in an assurance market, the validation program </w:t>
      </w:r>
      <w:r>
        <w:rPr>
          <w:rFonts w:ascii="Calibri" w:cs="Calibri" w:eastAsia="Calibri" w:hAnsi="Calibri"/>
          <w:i/>
          <w:iCs/>
          <w:color w:val="1A1A1A"/>
          <w:sz w:val="22"/>
          <w:szCs w:val="22"/>
        </w:rPr>
        <w:t xml:space="preserve">is</w:t>
      </w:r>
      <w:r>
        <w:rPr>
          <w:rFonts w:ascii="Calibri" w:cs="Calibri" w:eastAsia="Calibri" w:hAnsi="Calibri"/>
          <w:color w:val="1A1A1A"/>
          <w:sz w:val="22"/>
          <w:szCs w:val="22"/>
        </w:rPr>
        <w:t xml:space="preserve"> the content-marketing engine; nothing else you could write will convert half as well.</w:t>
      </w:r>
    </w:p>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Part X — What you have overlooked (founder and lead-engineer blind spots)</w:t>
      </w:r>
    </w:p>
    <w:p>
      <w:pPr>
        <w:spacing w:after="160" w:line="276"/>
        <w:jc w:val="both"/>
      </w:pPr>
      <w:r>
        <w:rPr>
          <w:rFonts w:ascii="Calibri" w:cs="Calibri" w:eastAsia="Calibri" w:hAnsi="Calibri"/>
          <w:color w:val="1A1A1A"/>
          <w:sz w:val="22"/>
          <w:szCs w:val="22"/>
        </w:rPr>
        <w:t xml:space="preserve">Ordered by expected cost of continued neglect, not by effort to fix.</w:t>
      </w:r>
    </w:p>
    <w:p>
      <w:pPr>
        <w:spacing w:after="160" w:line="276"/>
        <w:jc w:val="both"/>
      </w:pPr>
      <w:r>
        <w:rPr>
          <w:rFonts w:ascii="Calibri" w:cs="Calibri" w:eastAsia="Calibri" w:hAnsi="Calibri"/>
          <w:b/>
          <w:bCs/>
          <w:color w:val="1A1A1A"/>
          <w:sz w:val="22"/>
          <w:szCs w:val="22"/>
        </w:rPr>
        <w:t xml:space="preserve">1. Repository survivability.</w:t>
      </w:r>
      <w:r>
        <w:rPr>
          <w:rFonts w:ascii="Calibri" w:cs="Calibri" w:eastAsia="Calibri" w:hAnsi="Calibri"/>
          <w:color w:val="1A1A1A"/>
          <w:sz w:val="22"/>
          <w:szCs w:val="22"/>
        </w:rPr>
        <w:t xml:space="preserve"> KI-006 (no off-machine git remote) has been open for a month while the sole copy of the company sits on one Windows disk alongside its only backup discipline. Expected cost of neglect: everything. Fix this before finishing this report's read-through: private remote (GitHub/Azure DevOps) + LFS, plus a scheduled off-site backup of the non-git assets. Days of work, none of it optional.</w:t>
      </w:r>
    </w:p>
    <w:p>
      <w:pPr>
        <w:spacing w:after="160" w:line="276"/>
        <w:jc w:val="both"/>
      </w:pPr>
      <w:r>
        <w:rPr>
          <w:rFonts w:ascii="Calibri" w:cs="Calibri" w:eastAsia="Calibri" w:hAnsi="Calibri"/>
          <w:b/>
          <w:bCs/>
          <w:color w:val="1A1A1A"/>
          <w:sz w:val="22"/>
          <w:szCs w:val="22"/>
        </w:rPr>
        <w:t xml:space="preserve">2. IP chain of title.</w:t>
      </w:r>
      <w:r>
        <w:rPr>
          <w:rFonts w:ascii="Calibri" w:cs="Calibri" w:eastAsia="Calibri" w:hAnsi="Calibri"/>
          <w:color w:val="1A1A1A"/>
          <w:sz w:val="22"/>
          <w:szCs w:val="22"/>
        </w:rPr>
        <w:t xml:space="preserve"> Three unresolved claims sit under your core assets: the university's position on master's-project IP (many institutions assert rights or licenses over thesis-derived work — check your enrolment terms and get a written confirmation or assignment); the ship-design group's rights in the DOLPHIN hull, lines, and derived data (a short co-author agreement or license now costs a coffee; after revenue it costs equity or a lawsuit); and third-party content in the UE project (Marketplace assets, port models, OSM extracts — audit licenses for commercial redistribution). A pilot contract or grant agreement will ask you to warrant ownership; today you cannot.</w:t>
      </w:r>
    </w:p>
    <w:p>
      <w:pPr>
        <w:spacing w:after="160" w:line="276"/>
        <w:jc w:val="both"/>
      </w:pPr>
      <w:r>
        <w:rPr>
          <w:rFonts w:ascii="Calibri" w:cs="Calibri" w:eastAsia="Calibri" w:hAnsi="Calibri"/>
          <w:b/>
          <w:bCs/>
          <w:color w:val="1A1A1A"/>
          <w:sz w:val="22"/>
          <w:szCs w:val="22"/>
        </w:rPr>
        <w:t xml:space="preserve">3. Entity, domain, and the Gmail problem.</w:t>
      </w:r>
      <w:r>
        <w:rPr>
          <w:rFonts w:ascii="Calibri" w:cs="Calibri" w:eastAsia="Calibri" w:hAnsi="Calibri"/>
          <w:color w:val="1A1A1A"/>
          <w:sz w:val="22"/>
          <w:szCs w:val="22"/>
        </w:rPr>
        <w:t xml:space="preserve"> Confirm (or complete) company registration; buy the domain; move correspondence off Gmail; run a trademark clearance search on "NaviSense"/"NaviSyn" in EU/UK/US classes 9/42 before printing it on anything else (name collisions in software are common and cheapest to discover now). A maritime SME evaluating a </w:t>
      </w:r>
      <w:r>
        <w:rPr>
          <w:rFonts w:ascii="Calibri" w:cs="Calibri" w:eastAsia="Calibri" w:hAnsi="Calibri"/>
          <w:i/>
          <w:iCs/>
          <w:color w:val="1A1A1A"/>
          <w:sz w:val="22"/>
          <w:szCs w:val="22"/>
        </w:rPr>
        <w:t xml:space="preserve">safety-evidence vendor</w:t>
      </w:r>
      <w:r>
        <w:rPr>
          <w:rFonts w:ascii="Calibri" w:cs="Calibri" w:eastAsia="Calibri" w:hAnsi="Calibri"/>
          <w:color w:val="1A1A1A"/>
          <w:sz w:val="22"/>
          <w:szCs w:val="22"/>
        </w:rPr>
        <w:t xml:space="preserve"> reads a Gmail address as risk incarnate; this is the cheapest credibility purchase available to you.</w:t>
      </w:r>
    </w:p>
    <w:p>
      <w:pPr>
        <w:spacing w:after="160" w:line="276"/>
        <w:jc w:val="both"/>
      </w:pPr>
      <w:r>
        <w:rPr>
          <w:rFonts w:ascii="Calibri" w:cs="Calibri" w:eastAsia="Calibri" w:hAnsi="Calibri"/>
          <w:b/>
          <w:bCs/>
          <w:color w:val="1A1A1A"/>
          <w:sz w:val="22"/>
          <w:szCs w:val="22"/>
        </w:rPr>
        <w:t xml:space="preserve">4. Engine and geodata licensing.</w:t>
      </w:r>
      <w:r>
        <w:rPr>
          <w:rFonts w:ascii="Calibri" w:cs="Calibri" w:eastAsia="Calibri" w:hAnsi="Calibri"/>
          <w:color w:val="1A1A1A"/>
          <w:sz w:val="22"/>
          <w:szCs w:val="22"/>
        </w:rPr>
        <w:t xml:space="preserve"> Two open questions your commercial launch presupposes: which Epic licensing regime applies to a </w:t>
      </w:r>
      <w:r>
        <w:rPr>
          <w:rFonts w:ascii="Calibri" w:cs="Calibri" w:eastAsia="Calibri" w:hAnsi="Calibri"/>
          <w:i/>
          <w:iCs/>
          <w:color w:val="1A1A1A"/>
          <w:sz w:val="22"/>
          <w:szCs w:val="22"/>
        </w:rPr>
        <w:t xml:space="preserve">sold tool</w:t>
      </w:r>
      <w:r>
        <w:rPr>
          <w:rFonts w:ascii="Calibri" w:cs="Calibri" w:eastAsia="Calibri" w:hAnsi="Calibri"/>
          <w:color w:val="1A1A1A"/>
          <w:sz w:val="22"/>
          <w:szCs w:val="22"/>
        </w:rPr>
        <w:t xml:space="preserve"> built on UE5 (royalty-bearing vs. Unreal Subscription seats vs. custom terms — get it in writing from Epic before pricing anything, and note it also affects the MegaGrants application posture); and whether your Cesium ion tier plus photorealistic-tile sources permit commercial demos and customer deliverables containing derived imagery (Google's 3D-tiles terms in particular restrict caching/offline use). Neither is a blocker; both are exactly the diligence questions a Lab-license customer's procurement will ask.</w:t>
      </w:r>
    </w:p>
    <w:p>
      <w:pPr>
        <w:spacing w:after="160" w:line="276"/>
        <w:jc w:val="both"/>
      </w:pPr>
      <w:r>
        <w:rPr>
          <w:rFonts w:ascii="Calibri" w:cs="Calibri" w:eastAsia="Calibri" w:hAnsi="Calibri"/>
          <w:b/>
          <w:bCs/>
          <w:color w:val="1A1A1A"/>
          <w:sz w:val="22"/>
          <w:szCs w:val="22"/>
        </w:rPr>
        <w:t xml:space="preserve">5. Liability shape of an evidence business.</w:t>
      </w:r>
      <w:r>
        <w:rPr>
          <w:rFonts w:ascii="Calibri" w:cs="Calibri" w:eastAsia="Calibri" w:hAnsi="Calibri"/>
          <w:color w:val="1A1A1A"/>
          <w:sz w:val="22"/>
          <w:szCs w:val="22"/>
        </w:rPr>
        <w:t xml:space="preserve"> When you sell "evidence" that feeds safety decisions, you inherit professional-indemnity-shaped risk: a dossier chapter must carry a fitness-for-purpose disclaimer and a defined scope of reliance; pilots need a limitation-of-liability clause reviewed once by a maritime-literate lawyer; and professional indemnity insurance becomes advisable at first paid dossier. Also here: if defense interest materializes (Zeabuz's pivot shows the pull [S17]), EU/UK dual-use export-control screening enters scope before any non-EU/NATO customer conversation.</w:t>
      </w:r>
    </w:p>
    <w:p>
      <w:pPr>
        <w:spacing w:after="160" w:line="276"/>
        <w:jc w:val="both"/>
      </w:pPr>
      <w:r>
        <w:rPr>
          <w:rFonts w:ascii="Calibri" w:cs="Calibri" w:eastAsia="Calibri" w:hAnsi="Calibri"/>
          <w:b/>
          <w:bCs/>
          <w:color w:val="1A1A1A"/>
          <w:sz w:val="22"/>
          <w:szCs w:val="22"/>
        </w:rPr>
        <w:t xml:space="preserve">6. Regulatory watch as a process, not an event.</w:t>
      </w:r>
      <w:r>
        <w:rPr>
          <w:rFonts w:ascii="Calibri" w:cs="Calibri" w:eastAsia="Calibri" w:hAnsi="Calibri"/>
          <w:color w:val="1A1A1A"/>
          <w:sz w:val="22"/>
          <w:szCs w:val="22"/>
        </w:rPr>
        <w:t xml:space="preserve"> The MASS Code will move (MSC 112 in December frames the EBP [S1][S3]); AROS is explicitly designed to evolve [S6]; national pathways (UK workboat/MASS guidance) iterate faster than IMO. You need a monthly one-hour regulatory-watch habit with notes committed to the repo — the mapping annex (V.3) rots otherwise.</w:t>
      </w:r>
    </w:p>
    <w:p>
      <w:pPr>
        <w:spacing w:after="160" w:line="276"/>
        <w:jc w:val="both"/>
      </w:pPr>
      <w:r>
        <w:rPr>
          <w:rFonts w:ascii="Calibri" w:cs="Calibri" w:eastAsia="Calibri" w:hAnsi="Calibri"/>
          <w:b/>
          <w:bCs/>
          <w:color w:val="1A1A1A"/>
          <w:sz w:val="22"/>
          <w:szCs w:val="22"/>
        </w:rPr>
        <w:t xml:space="preserve">7. The competition you are not watching.</w:t>
      </w:r>
      <w:r>
        <w:rPr>
          <w:rFonts w:ascii="Calibri" w:cs="Calibri" w:eastAsia="Calibri" w:hAnsi="Calibri"/>
          <w:color w:val="1A1A1A"/>
          <w:sz w:val="22"/>
          <w:szCs w:val="22"/>
        </w:rPr>
        <w:t xml:space="preserve"> Set alerts on AILiveSim, Applied Intuition Defense maritime moves, DNV Simulation Trust Center, and the arXiv/ACM stream that is already publishing your concept [S20][S22]. Quarterly, one page: what moved, what it changes.</w:t>
      </w:r>
    </w:p>
    <w:p>
      <w:pPr>
        <w:spacing w:after="160" w:line="276"/>
        <w:jc w:val="both"/>
      </w:pPr>
      <w:r>
        <w:rPr>
          <w:rFonts w:ascii="Calibri" w:cs="Calibri" w:eastAsia="Calibri" w:hAnsi="Calibri"/>
          <w:b/>
          <w:bCs/>
          <w:color w:val="1A1A1A"/>
          <w:sz w:val="22"/>
          <w:szCs w:val="22"/>
        </w:rPr>
        <w:t xml:space="preserve">8. Founder sustainability.</w:t>
      </w:r>
      <w:r>
        <w:rPr>
          <w:rFonts w:ascii="Calibri" w:cs="Calibri" w:eastAsia="Calibri" w:hAnsi="Calibri"/>
          <w:color w:val="1A1A1A"/>
          <w:sz w:val="22"/>
          <w:szCs w:val="22"/>
        </w:rPr>
        <w:t xml:space="preserve"> The records show night-and-weekend cadence with slipped personal gates and a five-week planning horizon. A part-time solo company survives on </w:t>
      </w:r>
      <w:r>
        <w:rPr>
          <w:rFonts w:ascii="Calibri" w:cs="Calibri" w:eastAsia="Calibri" w:hAnsi="Calibri"/>
          <w:i/>
          <w:iCs/>
          <w:color w:val="1A1A1A"/>
          <w:sz w:val="22"/>
          <w:szCs w:val="22"/>
        </w:rPr>
        <w:t xml:space="preserve">rhythm</w:t>
      </w:r>
      <w:r>
        <w:rPr>
          <w:rFonts w:ascii="Calibri" w:cs="Calibri" w:eastAsia="Calibri" w:hAnsi="Calibri"/>
          <w:color w:val="1A1A1A"/>
          <w:sz w:val="22"/>
          <w:szCs w:val="22"/>
        </w:rPr>
        <w:t xml:space="preserve">, not heroics: fixed weekly market block (non-negotiable, first), fixed build block, fixed rest. The packet system should schedule you like it schedules the code.</w:t>
      </w:r>
    </w:p>
    <w:p>
      <w:pPr>
        <w:spacing w:after="160" w:line="276"/>
        <w:jc w:val="both"/>
      </w:pPr>
      <w:r>
        <w:rPr>
          <w:rFonts w:ascii="Calibri" w:cs="Calibri" w:eastAsia="Calibri" w:hAnsi="Calibri"/>
          <w:b/>
          <w:bCs/>
          <w:color w:val="1A1A1A"/>
          <w:sz w:val="22"/>
          <w:szCs w:val="22"/>
        </w:rPr>
        <w:t xml:space="preserve">9. The pricing you haven't tested.</w:t>
      </w:r>
      <w:r>
        <w:rPr>
          <w:rFonts w:ascii="Calibri" w:cs="Calibri" w:eastAsia="Calibri" w:hAnsi="Calibri"/>
          <w:color w:val="1A1A1A"/>
          <w:sz w:val="22"/>
          <w:szCs w:val="22"/>
        </w:rPr>
        <w:t xml:space="preserve"> €8–15k pilots are a reasonable guess; they are still a guess made without a single customer conversation. Discovery calls must test willingness-to-pay ranges and </w:t>
      </w:r>
      <w:r>
        <w:rPr>
          <w:rFonts w:ascii="Calibri" w:cs="Calibri" w:eastAsia="Calibri" w:hAnsi="Calibri"/>
          <w:i/>
          <w:iCs/>
          <w:color w:val="1A1A1A"/>
          <w:sz w:val="22"/>
          <w:szCs w:val="22"/>
        </w:rPr>
        <w:t xml:space="preserve">budget line</w:t>
      </w:r>
      <w:r>
        <w:rPr>
          <w:rFonts w:ascii="Calibri" w:cs="Calibri" w:eastAsia="Calibri" w:hAnsi="Calibri"/>
          <w:color w:val="1A1A1A"/>
          <w:sz w:val="22"/>
          <w:szCs w:val="22"/>
        </w:rPr>
        <w:t xml:space="preserve"> (R&amp;D? compliance? per-project?) — the answer changes the product's name on the invoice and who signs it.</w:t>
      </w:r>
    </w:p>
    <w:p>
      <w:pPr>
        <w:spacing w:after="160" w:line="276"/>
        <w:jc w:val="both"/>
      </w:pPr>
      <w:r>
        <w:rPr>
          <w:rFonts w:ascii="Calibri" w:cs="Calibri" w:eastAsia="Calibri" w:hAnsi="Calibri"/>
          <w:b/>
          <w:bCs/>
          <w:color w:val="1A1A1A"/>
          <w:sz w:val="22"/>
          <w:szCs w:val="22"/>
        </w:rPr>
        <w:t xml:space="preserve">10. A succession/continuity note.</w:t>
      </w:r>
      <w:r>
        <w:rPr>
          <w:rFonts w:ascii="Calibri" w:cs="Calibri" w:eastAsia="Calibri" w:hAnsi="Calibri"/>
          <w:color w:val="1A1A1A"/>
          <w:sz w:val="22"/>
          <w:szCs w:val="22"/>
        </w:rPr>
        <w:t xml:space="preserve"> One page, sealed: where the keys live, what the assets are, what a competent engineer would need to continue or wind down. Morbid, cheap, and the mark of an operator who understands they are currently a bus-factor-one company selling assurance.</w:t>
      </w:r>
    </w:p>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Part XI — The plan: 30 / 90 / 365 days, with kill criteria</w:t>
      </w:r>
    </w:p>
    <w:p>
      <w:pPr>
        <w:spacing w:after="160" w:line="276"/>
        <w:jc w:val="both"/>
      </w:pPr>
      <w:r>
        <w:rPr>
          <w:rFonts w:ascii="Calibri" w:cs="Calibri" w:eastAsia="Calibri" w:hAnsi="Calibri"/>
          <w:color w:val="1A1A1A"/>
          <w:sz w:val="22"/>
          <w:szCs w:val="22"/>
        </w:rPr>
        <w:t xml:space="preserve">The plan assumes the operating reality: one person, part-time, near-zero burn, an automated packet system, and a demo one session from complete. Its logic: finish the demo asset (it is 95% done and feeds everything), then invert the effort ratio from ~90/10 build/market to ~40/60 for a quarter. Engineering becomes the slack variable. Every item is phrased as a gate — done or not done — in the style your own ledger already uses.</w:t>
      </w:r>
    </w:p>
    <w:p>
      <w:pPr>
        <w:pStyle w:val="Heading2"/>
        <w:spacing w:after="120" w:before="300"/>
      </w:pPr>
      <w:r>
        <w:rPr>
          <w:rFonts w:ascii="Calibri" w:cs="Calibri" w:eastAsia="Calibri" w:hAnsi="Calibri"/>
          <w:b/>
          <w:bCs/>
          <w:color w:val="2E5496"/>
          <w:sz w:val="26"/>
          <w:szCs w:val="26"/>
        </w:rPr>
        <w:t xml:space="preserve">XI.1 Days 1–30 (to ~14 August 2026)</w:t>
      </w:r>
    </w:p>
    <w:p>
      <w:pPr>
        <w:spacing w:after="160" w:line="276"/>
        <w:jc w:val="both"/>
      </w:pPr>
      <w:r>
        <w:rPr>
          <w:rFonts w:ascii="Calibri" w:cs="Calibri" w:eastAsia="Calibri" w:hAnsi="Calibri"/>
          <w:color w:val="1A1A1A"/>
          <w:sz w:val="22"/>
          <w:szCs w:val="22"/>
        </w:rPr>
        <w:t xml:space="preserve">Week 1: run the pending live capture session (film, stills, D2 eye-check, COLREGS matrix, closeout gate) — this closes D2/D6/D7/D8 and produces the film every later item consumes; stand up the off-machine git remote and backup (Part X.1). Week 2: entity hygiene sprint — domain, email, registration confirmation, trademark search ordered, IP letters drafted to university and design group (Part X.2–3); soft-launch the story with the film (the delayed 11 July plan, executed honestly). Weeks 2–4: fill the warm-contact list to 10 and hold the first 8–10 discovery calls against a fixed script (their approval pathway, their current evidence practice, willingness-to-pay probe — X.9); begin V1 benchmark implementation (KVLCC2 coefficients into the plant); submit NVIDIA Inception (unblocked, free); decide Epic MegaGrants timing (film now exists). Explicitly frozen this month: LiDAR/sonar, dashboard polish beyond demo needs, new ports, any new sensor scope.</w:t>
      </w:r>
    </w:p>
    <w:p>
      <w:pPr>
        <w:spacing w:after="160" w:line="276"/>
        <w:jc w:val="both"/>
      </w:pPr>
      <w:r>
        <w:rPr>
          <w:rFonts w:ascii="Calibri" w:cs="Calibri" w:eastAsia="Calibri" w:hAnsi="Calibri"/>
          <w:color w:val="1A1A1A"/>
          <w:sz w:val="22"/>
          <w:szCs w:val="22"/>
        </w:rPr>
        <w:t xml:space="preserve">Gate for Day 30: film public; 8+ discovery calls held and written up; backup live; V1 running in draft; zero new feature scope opened.</w:t>
      </w:r>
    </w:p>
    <w:p>
      <w:pPr>
        <w:pStyle w:val="Heading2"/>
        <w:spacing w:after="120" w:before="300"/>
      </w:pPr>
      <w:r>
        <w:rPr>
          <w:rFonts w:ascii="Calibri" w:cs="Calibri" w:eastAsia="Calibri" w:hAnsi="Calibri"/>
          <w:b/>
          <w:bCs/>
          <w:color w:val="2E5496"/>
          <w:sz w:val="26"/>
          <w:szCs w:val="26"/>
        </w:rPr>
        <w:t xml:space="preserve">XI.2 Days 31–90 (to ~mid-October 2026)</w:t>
      </w:r>
    </w:p>
    <w:p>
      <w:pPr>
        <w:spacing w:after="160" w:line="276"/>
        <w:jc w:val="both"/>
      </w:pPr>
      <w:r>
        <w:rPr>
          <w:rFonts w:ascii="Calibri" w:cs="Calibri" w:eastAsia="Calibri" w:hAnsi="Calibri"/>
          <w:color w:val="1A1A1A"/>
          <w:sz w:val="22"/>
          <w:szCs w:val="22"/>
        </w:rPr>
        <w:t xml:space="preserve">Market: reach 25 cumulative discovery conversations; convert to 3–5 evaluation-depth engagements; sign 1 paid pilot (€8–15k) scoped per IV.2; submit Eurostars with the partner lab (10 September deadline); attend/orbit SMM Hamburg week (1–4 September) with meetings booked from the discovery list, not badge-scanning. Product: publish V1 benchmark comparison openly (the credibility unlock for every conversation above); ship the evidence-pack regulatory-mapping annex + requirements trace + uncertainty statement v1 (V.3, VI.3); complete the </w:t>
      </w:r>
      <w:r>
        <w:rPr>
          <w:rFonts w:ascii="Consolas" w:cs="Consolas" w:eastAsia="Consolas" w:hAnsi="Consolas"/>
          <w:color w:val="7A2E2E"/>
          <w:sz w:val="20"/>
          <w:szCs w:val="20"/>
        </w:rPr>
        <w:t xml:space="preserve">navisense-core</w:t>
      </w:r>
      <w:r>
        <w:rPr>
          <w:rFonts w:ascii="Calibri" w:cs="Calibri" w:eastAsia="Calibri" w:hAnsi="Calibri"/>
          <w:color w:val="1A1A1A"/>
          <w:sz w:val="22"/>
          <w:szCs w:val="22"/>
        </w:rPr>
        <w:t xml:space="preserve">/view split and CI (VIII.1). Regulatory: complete the RP-0513-style self-assessment draft (V.4 Step 3); identify the named class-society contact via pilot or lab introductions. Community: publish the community alpha </w:t>
      </w:r>
      <w:r>
        <w:rPr>
          <w:rFonts w:ascii="Calibri" w:cs="Calibri" w:eastAsia="Calibri" w:hAnsi="Calibri"/>
          <w:i/>
          <w:iCs/>
          <w:color w:val="1A1A1A"/>
          <w:sz w:val="22"/>
          <w:szCs w:val="22"/>
        </w:rPr>
        <w:t xml:space="preserve">in the inverted open-core form</w:t>
      </w:r>
      <w:r>
        <w:rPr>
          <w:rFonts w:ascii="Calibri" w:cs="Calibri" w:eastAsia="Calibri" w:hAnsi="Calibri"/>
          <w:color w:val="1A1A1A"/>
          <w:sz w:val="22"/>
          <w:szCs w:val="22"/>
        </w:rPr>
        <w:t xml:space="preserve"> (formats + scorer + benchmark open; runners/vessel pipeline commercial) — 25 August remains feasible if and only if the market gates above are green first; otherwise it slips without guilt, per your own adapt-don't-guilt-stack rule.</w:t>
      </w:r>
    </w:p>
    <w:p>
      <w:pPr>
        <w:spacing w:after="160" w:line="276"/>
        <w:jc w:val="both"/>
      </w:pPr>
      <w:r>
        <w:rPr>
          <w:rFonts w:ascii="Calibri" w:cs="Calibri" w:eastAsia="Calibri" w:hAnsi="Calibri"/>
          <w:color w:val="1A1A1A"/>
          <w:sz w:val="22"/>
          <w:szCs w:val="22"/>
        </w:rPr>
        <w:t xml:space="preserve">Gate for Day 90: 1 signed pilot or 2 signed LOIs; V1 public; Eurostars submitted; core/view split merged.</w:t>
      </w:r>
    </w:p>
    <w:p>
      <w:pPr>
        <w:pStyle w:val="Heading2"/>
        <w:spacing w:after="120" w:before="300"/>
      </w:pPr>
      <w:r>
        <w:rPr>
          <w:rFonts w:ascii="Calibri" w:cs="Calibri" w:eastAsia="Calibri" w:hAnsi="Calibri"/>
          <w:b/>
          <w:bCs/>
          <w:color w:val="2E5496"/>
          <w:sz w:val="26"/>
          <w:szCs w:val="26"/>
        </w:rPr>
        <w:t xml:space="preserve">XI.3 Days 91–365 (to July 2027)</w:t>
      </w:r>
    </w:p>
    <w:p>
      <w:pPr>
        <w:spacing w:after="160" w:line="276"/>
        <w:jc w:val="both"/>
      </w:pPr>
      <w:r>
        <w:rPr>
          <w:rFonts w:ascii="Calibri" w:cs="Calibri" w:eastAsia="Calibri" w:hAnsi="Calibri"/>
          <w:color w:val="1A1A1A"/>
          <w:sz w:val="22"/>
          <w:szCs w:val="22"/>
        </w:rPr>
        <w:t xml:space="preserve">Deliver 2–3 pilots to dossier standard with Level-3 residual chapters (VI.2); stand up the registry with the first three vessels (V4); open the class-society methodology conversation with the Credibility File and a pilot project attached (V.4 Step 4); submit the method paper with the design-partner labs; convert at least one pilot to an annual arrangement; re-approach the defense channel (next DIANA-class call, or via a dual-use customer like the Zeabuz pattern [S17]) from an entity that now has revenue, validation, and a class conversation; make the full-time decision when your own trigger (~€2–3k MRR or one paid pilot) trips — on current plan, that is Q4 2026; hire #1 (applied simulation engineer, VIII.4) only after grant or ~€100k cumulative revenue.</w:t>
      </w:r>
    </w:p>
    <w:p>
      <w:pPr>
        <w:pStyle w:val="Heading2"/>
        <w:spacing w:after="120" w:before="300"/>
      </w:pPr>
      <w:r>
        <w:rPr>
          <w:rFonts w:ascii="Calibri" w:cs="Calibri" w:eastAsia="Calibri" w:hAnsi="Calibri"/>
          <w:b/>
          <w:bCs/>
          <w:color w:val="2E5496"/>
          <w:sz w:val="26"/>
          <w:szCs w:val="26"/>
        </w:rPr>
        <w:t xml:space="preserve">XI.4 KPIs that count (and ones that no longer do)</w:t>
      </w:r>
    </w:p>
    <w:p>
      <w:pPr>
        <w:spacing w:after="160" w:line="276"/>
        <w:jc w:val="both"/>
      </w:pPr>
      <w:r>
        <w:rPr>
          <w:rFonts w:ascii="Calibri" w:cs="Calibri" w:eastAsia="Calibri" w:hAnsi="Calibri"/>
          <w:color w:val="1A1A1A"/>
          <w:sz w:val="22"/>
          <w:szCs w:val="22"/>
        </w:rPr>
        <w:t xml:space="preserve">Count, weekly, in the existing PROGRESS.md machinery: discovery conversations held; evaluations in progress; pilots signed/delivered; € invoiced; grant submissions confirmed (not drafted); external adoptions of the open formats; validation tiers closed. Stop counting as progress: LOC, sensors added, gates green on unchanged scope, documents produced about launching. The ledger already knows how to be honest; give it the right columns.</w:t>
      </w:r>
    </w:p>
    <w:p>
      <w:pPr>
        <w:pStyle w:val="Heading2"/>
        <w:spacing w:after="120" w:before="300"/>
      </w:pPr>
      <w:r>
        <w:rPr>
          <w:rFonts w:ascii="Calibri" w:cs="Calibri" w:eastAsia="Calibri" w:hAnsi="Calibri"/>
          <w:b/>
          <w:bCs/>
          <w:color w:val="2E5496"/>
          <w:sz w:val="26"/>
          <w:szCs w:val="26"/>
        </w:rPr>
        <w:t xml:space="preserve">XI.5 Kill and pivot criteria (pre-committed, dated)</w:t>
      </w:r>
    </w:p>
    <w:p>
      <w:pPr>
        <w:spacing w:after="160" w:line="276"/>
        <w:jc w:val="both"/>
      </w:pPr>
      <w:r>
        <w:rPr>
          <w:rFonts w:ascii="Calibri" w:cs="Calibri" w:eastAsia="Calibri" w:hAnsi="Calibri"/>
          <w:b/>
          <w:bCs/>
          <w:color w:val="1A1A1A"/>
          <w:sz w:val="22"/>
          <w:szCs w:val="22"/>
        </w:rPr>
        <w:t xml:space="preserve">Checkpoint 31 December 2026.</w:t>
      </w:r>
      <w:r>
        <w:rPr>
          <w:rFonts w:ascii="Calibri" w:cs="Calibri" w:eastAsia="Calibri" w:hAnsi="Calibri"/>
          <w:color w:val="1A1A1A"/>
          <w:sz w:val="22"/>
          <w:szCs w:val="22"/>
        </w:rPr>
        <w:t xml:space="preserve"> If ≥25 discovery conversations have produced zero paid pilots and zero LOIs: the beachhead thesis is wrong — pivot the same instrument to the adjacent thesis ranked second (autonomy-stack vendors as regression-testing customers) or to a services-first model (CFD/coefficient consultancy funding the tool), and kill the self-serve/community track. If conversations keep converting to enthusiasm but never to budget: the price point or budget-line hypothesis is wrong before the product is — test compliance-budget framing before killing anything. </w:t>
      </w:r>
      <w:r>
        <w:rPr>
          <w:rFonts w:ascii="Calibri" w:cs="Calibri" w:eastAsia="Calibri" w:hAnsi="Calibri"/>
          <w:b/>
          <w:bCs/>
          <w:color w:val="1A1A1A"/>
          <w:sz w:val="22"/>
          <w:szCs w:val="22"/>
        </w:rPr>
        <w:t xml:space="preserve">Checkpoint 30 June 2027.</w:t>
      </w:r>
      <w:r>
        <w:rPr>
          <w:rFonts w:ascii="Calibri" w:cs="Calibri" w:eastAsia="Calibri" w:hAnsi="Calibri"/>
          <w:color w:val="1A1A1A"/>
          <w:sz w:val="22"/>
          <w:szCs w:val="22"/>
        </w:rPr>
        <w:t xml:space="preserve"> If cumulative revenue &lt; €20k and no grant secured and no class-society engagement exists: wind down commercial ambitions honestly — the asset is then a strong PhD/researcher portfolio and a publishable method, which is a respectable outcome reached with eyes open. </w:t>
      </w:r>
      <w:r>
        <w:rPr>
          <w:rFonts w:ascii="Calibri" w:cs="Calibri" w:eastAsia="Calibri" w:hAnsi="Calibri"/>
          <w:b/>
          <w:bCs/>
          <w:color w:val="1A1A1A"/>
          <w:sz w:val="22"/>
          <w:szCs w:val="22"/>
        </w:rPr>
        <w:t xml:space="preserve">Standing kill rules:</w:t>
      </w:r>
      <w:r>
        <w:rPr>
          <w:rFonts w:ascii="Calibri" w:cs="Calibri" w:eastAsia="Calibri" w:hAnsi="Calibri"/>
          <w:color w:val="1A1A1A"/>
          <w:sz w:val="22"/>
          <w:szCs w:val="22"/>
        </w:rPr>
        <w:t xml:space="preserve"> any tier of Part IX that would require claiming beyond evidence to close a sale is refused, whatever the revenue; if the university or design group asserts blocking IP and will not license on sane terms, the DOLPHIN is excised (V1 benchmark hulls carry the physics story) rather than litigated. </w:t>
      </w:r>
      <w:r>
        <w:rPr>
          <w:rFonts w:ascii="Calibri" w:cs="Calibri" w:eastAsia="Calibri" w:hAnsi="Calibri"/>
          <w:b/>
          <w:bCs/>
          <w:color w:val="1A1A1A"/>
          <w:sz w:val="22"/>
          <w:szCs w:val="22"/>
        </w:rPr>
        <w:t xml:space="preserve">Anti-kill rule, equally binding:</w:t>
      </w:r>
      <w:r>
        <w:rPr>
          <w:rFonts w:ascii="Calibri" w:cs="Calibri" w:eastAsia="Calibri" w:hAnsi="Calibri"/>
          <w:color w:val="1A1A1A"/>
          <w:sz w:val="22"/>
          <w:szCs w:val="22"/>
        </w:rPr>
        <w:t xml:space="preserve"> engineering shortfalls (missing features, unpolished UI, sensor wishlists) are never grounds to delay market gates — the record shows this failure mode is yours, and this sentence exists to be quoted back to you.</w:t>
      </w:r>
    </w:p>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Closing note</w:t>
      </w:r>
    </w:p>
    <w:p>
      <w:pPr>
        <w:spacing w:after="160" w:line="276"/>
        <w:jc w:val="both"/>
      </w:pPr>
      <w:r>
        <w:rPr>
          <w:rFonts w:ascii="Calibri" w:cs="Calibri" w:eastAsia="Calibri" w:hAnsi="Calibri"/>
          <w:color w:val="1A1A1A"/>
          <w:sz w:val="22"/>
          <w:szCs w:val="22"/>
        </w:rPr>
        <w:t xml:space="preserve">You asked for the flaws found and the assumptions broken, and this report has done that at length. It should end on the judgment an evaluator would actually file. The engineering habits on display — gated verification, negative controls, honest provenance, reproducibility as reflex — are the rarest inputs in early-stage deep tech; they are also, uncoincidentally, the exact cultural requirements of the assurance business this report recommends entering. The product thesis was misaimed (a simulator, a yacht, a platform) but the underlying instinct — that autonomous shipping's bottleneck is </w:t>
      </w:r>
      <w:r>
        <w:rPr>
          <w:rFonts w:ascii="Calibri" w:cs="Calibri" w:eastAsia="Calibri" w:hAnsi="Calibri"/>
          <w:i/>
          <w:iCs/>
          <w:color w:val="1A1A1A"/>
          <w:sz w:val="22"/>
          <w:szCs w:val="22"/>
        </w:rPr>
        <w:t xml:space="preserve">trustworthy evidence</w:t>
      </w:r>
      <w:r>
        <w:rPr>
          <w:rFonts w:ascii="Calibri" w:cs="Calibri" w:eastAsia="Calibri" w:hAnsi="Calibri"/>
          <w:color w:val="1A1A1A"/>
          <w:sz w:val="22"/>
          <w:szCs w:val="22"/>
        </w:rPr>
        <w:t xml:space="preserve">, and that the 2026–2030 window rewards whoever industrializes it for the small end of the market — is sound, timely, and defensible at your scale. The company does not need better code to become real. It needs a domain name, ten phone calls, one public benchmark, one pilot, and the discipline to keep the build hand still while the market hand catches up. Everything in this document reduces to that.</w:t>
      </w:r>
    </w:p>
    <w:p>
      <w:r>
        <w:br w:type="page"/>
      </w:r>
    </w:p>
    <w:p>
      <w:pPr>
        <w:pStyle w:val="Heading1"/>
        <w:pBdr>
          <w:bottom w:val="single" w:color="D9E2F1" w:sz="6" w:space="4"/>
        </w:pBdr>
        <w:spacing w:after="160" w:before="360"/>
      </w:pPr>
      <w:r>
        <w:rPr>
          <w:rFonts w:ascii="Calibri" w:cs="Calibri" w:eastAsia="Calibri" w:hAnsi="Calibri"/>
          <w:b/>
          <w:bCs/>
          <w:color w:val="1F3864"/>
          <w:sz w:val="32"/>
          <w:szCs w:val="32"/>
        </w:rPr>
        <w:t xml:space="preserve">Appendix A — Sources</w:t>
      </w:r>
    </w:p>
    <w:p>
      <w:pPr>
        <w:spacing w:after="160" w:line="276"/>
        <w:jc w:val="both"/>
      </w:pPr>
      <w:r>
        <w:rPr>
          <w:rFonts w:ascii="Calibri" w:cs="Calibri" w:eastAsia="Calibri" w:hAnsi="Calibri"/>
          <w:color w:val="1A1A1A"/>
          <w:sz w:val="22"/>
          <w:szCs w:val="22"/>
        </w:rPr>
        <w:t xml:space="preserve">Project facts derive from the workspace audit of 14 July 2026 (</w:t>
      </w:r>
      <w:r>
        <w:rPr>
          <w:rFonts w:ascii="Consolas" w:cs="Consolas" w:eastAsia="Consolas" w:hAnsi="Consolas"/>
          <w:color w:val="7A2E2E"/>
          <w:sz w:val="20"/>
          <w:szCs w:val="20"/>
        </w:rPr>
        <w:t xml:space="preserve">PROGRESS.md</w:t>
      </w:r>
      <w:r>
        <w:rPr>
          <w:rFonts w:ascii="Calibri" w:cs="Calibri" w:eastAsia="Calibri" w:hAnsi="Calibri"/>
          <w:color w:val="1A1A1A"/>
          <w:sz w:val="22"/>
          <w:szCs w:val="22"/>
        </w:rPr>
        <w:t xml:space="preserve">, work packets, </w:t>
      </w:r>
      <w:r>
        <w:rPr>
          <w:rFonts w:ascii="Consolas" w:cs="Consolas" w:eastAsia="Consolas" w:hAnsi="Consolas"/>
          <w:color w:val="7A2E2E"/>
          <w:sz w:val="20"/>
          <w:szCs w:val="20"/>
        </w:rPr>
        <w:t xml:space="preserve">Documents/</w:t>
      </w:r>
      <w:r>
        <w:rPr>
          <w:rFonts w:ascii="Calibri" w:cs="Calibri" w:eastAsia="Calibri" w:hAnsi="Calibri"/>
          <w:color w:val="1A1A1A"/>
          <w:sz w:val="22"/>
          <w:szCs w:val="22"/>
        </w:rPr>
        <w:t xml:space="preserve"> strategy files, code inventory). External claims resolve as follows; all URLs accessed 14 July 2026.</w:t>
      </w:r>
    </w:p>
    <w:p>
      <w:pPr>
        <w:spacing w:after="160" w:line="276"/>
        <w:jc w:val="both"/>
      </w:pPr>
      <w:r>
        <w:rPr>
          <w:rFonts w:ascii="Calibri" w:cs="Calibri" w:eastAsia="Calibri" w:hAnsi="Calibri"/>
          <w:b/>
          <w:bCs/>
          <w:color w:val="1A1A1A"/>
          <w:sz w:val="22"/>
          <w:szCs w:val="22"/>
        </w:rPr>
        <w:t xml:space="preserve">Regulatory.</w:t>
      </w:r>
      <w:r>
        <w:rPr>
          <w:rFonts w:ascii="Calibri" w:cs="Calibri" w:eastAsia="Calibri" w:hAnsi="Calibri"/>
          <w:color w:val="1A1A1A"/>
          <w:sz w:val="22"/>
          <w:szCs w:val="22"/>
        </w:rPr>
        <w:t xml:space="preserve"> [S1] IMO press briefing, </w:t>
      </w:r>
      <w:hyperlink w:history="1" r:id="rId85xs1udphtqj_rposscya">
        <w:r>
          <w:rPr>
            <w:rStyle w:val="Hyperlink"/>
            <w:rFonts w:ascii="Calibri" w:cs="Calibri" w:eastAsia="Calibri" w:hAnsi="Calibri"/>
            <w:sz w:val="22"/>
            <w:szCs w:val="22"/>
          </w:rPr>
          <w:t xml:space="preserve">IMO adopts first global Code for autonomous ships</w:t>
        </w:r>
      </w:hyperlink>
      <w:r>
        <w:rPr>
          <w:rFonts w:ascii="Calibri" w:cs="Calibri" w:eastAsia="Calibri" w:hAnsi="Calibri"/>
          <w:color w:val="1A1A1A"/>
          <w:sz w:val="22"/>
          <w:szCs w:val="22"/>
        </w:rPr>
        <w:t xml:space="preserve">. [S2] DNV news, </w:t>
      </w:r>
      <w:hyperlink w:history="1" r:id="rId_1h35bysdlgcsbertk9to">
        <w:r>
          <w:rPr>
            <w:rStyle w:val="Hyperlink"/>
            <w:rFonts w:ascii="Calibri" w:cs="Calibri" w:eastAsia="Calibri" w:hAnsi="Calibri"/>
            <w:sz w:val="22"/>
            <w:szCs w:val="22"/>
          </w:rPr>
          <w:t xml:space="preserve">IMO MSC 111: New MASS Code adopted</w:t>
        </w:r>
      </w:hyperlink>
      <w:r>
        <w:rPr>
          <w:rFonts w:ascii="Calibri" w:cs="Calibri" w:eastAsia="Calibri" w:hAnsi="Calibri"/>
          <w:color w:val="1A1A1A"/>
          <w:sz w:val="22"/>
          <w:szCs w:val="22"/>
        </w:rPr>
        <w:t xml:space="preserve">. [S3] IMO, </w:t>
      </w:r>
      <w:hyperlink w:history="1" r:id="rId-k2j6zdfwqc5edw1v9ehc">
        <w:r>
          <w:rPr>
            <w:rStyle w:val="Hyperlink"/>
            <w:rFonts w:ascii="Calibri" w:cs="Calibri" w:eastAsia="Calibri" w:hAnsi="Calibri"/>
            <w:sz w:val="22"/>
            <w:szCs w:val="22"/>
          </w:rPr>
          <w:t xml:space="preserve">Autonomous shipping FAQ</w:t>
        </w:r>
      </w:hyperlink>
      <w:r>
        <w:rPr>
          <w:rFonts w:ascii="Calibri" w:cs="Calibri" w:eastAsia="Calibri" w:hAnsi="Calibri"/>
          <w:color w:val="1A1A1A"/>
          <w:sz w:val="22"/>
          <w:szCs w:val="22"/>
        </w:rPr>
        <w:t xml:space="preserve"> and </w:t>
      </w:r>
      <w:hyperlink w:history="1" r:id="rIdjmqil-dt9h0bsbtoklgl1">
        <w:r>
          <w:rPr>
            <w:rStyle w:val="Hyperlink"/>
            <w:rFonts w:ascii="Calibri" w:cs="Calibri" w:eastAsia="Calibri" w:hAnsi="Calibri"/>
            <w:sz w:val="22"/>
            <w:szCs w:val="22"/>
          </w:rPr>
          <w:t xml:space="preserve">MSC 111 preview</w:t>
        </w:r>
      </w:hyperlink>
      <w:r>
        <w:rPr>
          <w:rFonts w:ascii="Calibri" w:cs="Calibri" w:eastAsia="Calibri" w:hAnsi="Calibri"/>
          <w:color w:val="1A1A1A"/>
          <w:sz w:val="22"/>
          <w:szCs w:val="22"/>
        </w:rPr>
        <w:t xml:space="preserve"> (Code chapters, EBP, function-by-function application, timeline to mandatory code). [S4] gCaptain, </w:t>
      </w:r>
      <w:hyperlink w:history="1" r:id="rIdg0l00boyd6iewglyrwpkd">
        <w:r>
          <w:rPr>
            <w:rStyle w:val="Hyperlink"/>
            <w:rFonts w:ascii="Calibri" w:cs="Calibri" w:eastAsia="Calibri" w:hAnsi="Calibri"/>
            <w:sz w:val="22"/>
            <w:szCs w:val="22"/>
          </w:rPr>
          <w:t xml:space="preserve">IMO Adopts MASS Code</w:t>
        </w:r>
      </w:hyperlink>
      <w:r>
        <w:rPr>
          <w:rFonts w:ascii="Calibri" w:cs="Calibri" w:eastAsia="Calibri" w:hAnsi="Calibri"/>
          <w:color w:val="1A1A1A"/>
          <w:sz w:val="22"/>
          <w:szCs w:val="22"/>
        </w:rPr>
        <w:t xml:space="preserve">; see also Ocean Economist, </w:t>
      </w:r>
      <w:hyperlink w:history="1" r:id="rIdq4kisz0ctuhecslal6e2o">
        <w:r>
          <w:rPr>
            <w:rStyle w:val="Hyperlink"/>
            <w:rFonts w:ascii="Calibri" w:cs="Calibri" w:eastAsia="Calibri" w:hAnsi="Calibri"/>
            <w:sz w:val="22"/>
            <w:szCs w:val="22"/>
          </w:rPr>
          <w:t xml:space="preserve">Two-year voluntary introduction from July 2026</w:t>
        </w:r>
      </w:hyperlink>
      <w:r>
        <w:rPr>
          <w:rFonts w:ascii="Calibri" w:cs="Calibri" w:eastAsia="Calibri" w:hAnsi="Calibri"/>
          <w:color w:val="1A1A1A"/>
          <w:sz w:val="22"/>
          <w:szCs w:val="22"/>
        </w:rPr>
        <w:t xml:space="preserve">. [S5] DNV news, </w:t>
      </w:r>
      <w:hyperlink w:history="1" r:id="rIdcfyjpclwrg0n8onoshin9">
        <w:r>
          <w:rPr>
            <w:rStyle w:val="Hyperlink"/>
            <w:rFonts w:ascii="Calibri" w:cs="Calibri" w:eastAsia="Calibri" w:hAnsi="Calibri"/>
            <w:sz w:val="22"/>
            <w:szCs w:val="22"/>
          </w:rPr>
          <w:t xml:space="preserve">DNV launches class notations for autonomous shipping technologies</w:t>
        </w:r>
      </w:hyperlink>
      <w:r>
        <w:rPr>
          <w:rFonts w:ascii="Calibri" w:cs="Calibri" w:eastAsia="Calibri" w:hAnsi="Calibri"/>
          <w:color w:val="1A1A1A"/>
          <w:sz w:val="22"/>
          <w:szCs w:val="22"/>
        </w:rPr>
        <w:t xml:space="preserve">. [S6] DNV, </w:t>
      </w:r>
      <w:hyperlink w:history="1" r:id="rIdfbbhcv75mi_fyyt4yzadh">
        <w:r>
          <w:rPr>
            <w:rStyle w:val="Hyperlink"/>
            <w:rFonts w:ascii="Calibri" w:cs="Calibri" w:eastAsia="Calibri" w:hAnsi="Calibri"/>
            <w:sz w:val="22"/>
            <w:szCs w:val="22"/>
          </w:rPr>
          <w:t xml:space="preserve">AROS Class Notations</w:t>
        </w:r>
      </w:hyperlink>
      <w:r>
        <w:rPr>
          <w:rFonts w:ascii="Calibri" w:cs="Calibri" w:eastAsia="Calibri" w:hAnsi="Calibri"/>
          <w:color w:val="1A1A1A"/>
          <w:sz w:val="22"/>
          <w:szCs w:val="22"/>
        </w:rPr>
        <w:t xml:space="preserve"> (functions, modes, control locations, notation composition, CG-0264 basis, approval routes). [S7] DNV, </w:t>
      </w:r>
      <w:hyperlink w:history="1" r:id="rIdrvsznzfusnq9e-ojk2z2f">
        <w:r>
          <w:rPr>
            <w:rStyle w:val="Hyperlink"/>
            <w:rFonts w:ascii="Calibri" w:cs="Calibri" w:eastAsia="Calibri" w:hAnsi="Calibri"/>
            <w:sz w:val="22"/>
            <w:szCs w:val="22"/>
          </w:rPr>
          <w:t xml:space="preserve">Assurance of simulation models — DNV-RP-0513</w:t>
        </w:r>
      </w:hyperlink>
      <w:r>
        <w:rPr>
          <w:rFonts w:ascii="Calibri" w:cs="Calibri" w:eastAsia="Calibri" w:hAnsi="Calibri"/>
          <w:color w:val="1A1A1A"/>
          <w:sz w:val="22"/>
          <w:szCs w:val="22"/>
        </w:rPr>
        <w:t xml:space="preserve">; DNV research, </w:t>
      </w:r>
      <w:hyperlink w:history="1" r:id="rId2q6cfrkc6tmrj-4lsunyo">
        <w:r>
          <w:rPr>
            <w:rStyle w:val="Hyperlink"/>
            <w:rFonts w:ascii="Calibri" w:cs="Calibri" w:eastAsia="Calibri" w:hAnsi="Calibri"/>
            <w:sz w:val="22"/>
            <w:szCs w:val="22"/>
          </w:rPr>
          <w:t xml:space="preserve">Simulation-based testing of autonomous ships</w:t>
        </w:r>
      </w:hyperlink>
      <w:r>
        <w:rPr>
          <w:rFonts w:ascii="Calibri" w:cs="Calibri" w:eastAsia="Calibri" w:hAnsi="Calibri"/>
          <w:color w:val="1A1A1A"/>
          <w:sz w:val="22"/>
          <w:szCs w:val="22"/>
        </w:rPr>
        <w:t xml:space="preserve">. [S23] Bureau Veritas, </w:t>
      </w:r>
      <w:hyperlink w:history="1" r:id="rIdwxigrnlwty1xlaxycpeya">
        <w:r>
          <w:rPr>
            <w:rStyle w:val="Hyperlink"/>
            <w:rFonts w:ascii="Calibri" w:cs="Calibri" w:eastAsia="Calibri" w:hAnsi="Calibri"/>
            <w:sz w:val="22"/>
            <w:szCs w:val="22"/>
          </w:rPr>
          <w:t xml:space="preserve">NI 641 Guidelines for Autonomous Shipping</w:t>
        </w:r>
      </w:hyperlink>
      <w:r>
        <w:rPr>
          <w:rFonts w:ascii="Calibri" w:cs="Calibri" w:eastAsia="Calibri" w:hAnsi="Calibri"/>
          <w:color w:val="1A1A1A"/>
          <w:sz w:val="22"/>
          <w:szCs w:val="22"/>
        </w:rPr>
        <w:t xml:space="preserve">; ClassNK, </w:t>
      </w:r>
      <w:hyperlink w:history="1" r:id="rIdkjdbokt1b65m1ugkp0brx">
        <w:r>
          <w:rPr>
            <w:rStyle w:val="Hyperlink"/>
            <w:rFonts w:ascii="Calibri" w:cs="Calibri" w:eastAsia="Calibri" w:hAnsi="Calibri"/>
            <w:sz w:val="22"/>
            <w:szCs w:val="22"/>
          </w:rPr>
          <w:t xml:space="preserve">Automation levels of automated/autonomous ships</w:t>
        </w:r>
      </w:hyperlink>
      <w:r>
        <w:rPr>
          <w:rFonts w:ascii="Calibri" w:cs="Calibri" w:eastAsia="Calibri" w:hAnsi="Calibri"/>
          <w:color w:val="1A1A1A"/>
          <w:sz w:val="22"/>
          <w:szCs w:val="22"/>
        </w:rPr>
        <w:t xml:space="preserve">.</w:t>
      </w:r>
    </w:p>
    <w:p>
      <w:pPr>
        <w:spacing w:after="160" w:line="276"/>
        <w:jc w:val="both"/>
      </w:pPr>
      <w:r>
        <w:rPr>
          <w:rFonts w:ascii="Calibri" w:cs="Calibri" w:eastAsia="Calibri" w:hAnsi="Calibri"/>
          <w:b/>
          <w:bCs/>
          <w:color w:val="1A1A1A"/>
          <w:sz w:val="22"/>
          <w:szCs w:val="22"/>
        </w:rPr>
        <w:t xml:space="preserve">Market.</w:t>
      </w:r>
      <w:r>
        <w:rPr>
          <w:rFonts w:ascii="Calibri" w:cs="Calibri" w:eastAsia="Calibri" w:hAnsi="Calibri"/>
          <w:color w:val="1A1A1A"/>
          <w:sz w:val="22"/>
          <w:szCs w:val="22"/>
        </w:rPr>
        <w:t xml:space="preserve"> [S8] Mordor Intelligence, </w:t>
      </w:r>
      <w:hyperlink w:history="1" r:id="rIdlozfva2f7-zb8boodg0mn">
        <w:r>
          <w:rPr>
            <w:rStyle w:val="Hyperlink"/>
            <w:rFonts w:ascii="Calibri" w:cs="Calibri" w:eastAsia="Calibri" w:hAnsi="Calibri"/>
            <w:sz w:val="22"/>
            <w:szCs w:val="22"/>
          </w:rPr>
          <w:t xml:space="preserve">Autonomous Ships Market</w:t>
        </w:r>
      </w:hyperlink>
      <w:r>
        <w:rPr>
          <w:rFonts w:ascii="Calibri" w:cs="Calibri" w:eastAsia="Calibri" w:hAnsi="Calibri"/>
          <w:color w:val="1A1A1A"/>
          <w:sz w:val="22"/>
          <w:szCs w:val="22"/>
        </w:rPr>
        <w:t xml:space="preserve">. [S9] Grand View Research, </w:t>
      </w:r>
      <w:hyperlink w:history="1" r:id="rId8iqjmtkos-n72fxrtj9al">
        <w:r>
          <w:rPr>
            <w:rStyle w:val="Hyperlink"/>
            <w:rFonts w:ascii="Calibri" w:cs="Calibri" w:eastAsia="Calibri" w:hAnsi="Calibri"/>
            <w:sz w:val="22"/>
            <w:szCs w:val="22"/>
          </w:rPr>
          <w:t xml:space="preserve">Autonomous Ships Market</w:t>
        </w:r>
      </w:hyperlink>
      <w:r>
        <w:rPr>
          <w:rFonts w:ascii="Calibri" w:cs="Calibri" w:eastAsia="Calibri" w:hAnsi="Calibri"/>
          <w:color w:val="1A1A1A"/>
          <w:sz w:val="22"/>
          <w:szCs w:val="22"/>
        </w:rPr>
        <w:t xml:space="preserve">. [S10] Mordor Intelligence, </w:t>
      </w:r>
      <w:hyperlink w:history="1" r:id="rIdlrhcafgr8b4vugkaucwvs">
        <w:r>
          <w:rPr>
            <w:rStyle w:val="Hyperlink"/>
            <w:rFonts w:ascii="Calibri" w:cs="Calibri" w:eastAsia="Calibri" w:hAnsi="Calibri"/>
            <w:sz w:val="22"/>
            <w:szCs w:val="22"/>
          </w:rPr>
          <w:t xml:space="preserve">USV Market</w:t>
        </w:r>
      </w:hyperlink>
      <w:r>
        <w:rPr>
          <w:rFonts w:ascii="Calibri" w:cs="Calibri" w:eastAsia="Calibri" w:hAnsi="Calibri"/>
          <w:color w:val="1A1A1A"/>
          <w:sz w:val="22"/>
          <w:szCs w:val="22"/>
        </w:rPr>
        <w:t xml:space="preserve"> (defense share). [S11] MarketsandMarkets, </w:t>
      </w:r>
      <w:hyperlink w:history="1" r:id="rIdqayje0t0nsiceetmwktf5">
        <w:r>
          <w:rPr>
            <w:rStyle w:val="Hyperlink"/>
            <w:rFonts w:ascii="Calibri" w:cs="Calibri" w:eastAsia="Calibri" w:hAnsi="Calibri"/>
            <w:sz w:val="22"/>
            <w:szCs w:val="22"/>
          </w:rPr>
          <w:t xml:space="preserve">Unmanned Surface Vehicle Market</w:t>
        </w:r>
      </w:hyperlink>
      <w:r>
        <w:rPr>
          <w:rFonts w:ascii="Calibri" w:cs="Calibri" w:eastAsia="Calibri" w:hAnsi="Calibri"/>
          <w:color w:val="1A1A1A"/>
          <w:sz w:val="22"/>
          <w:szCs w:val="22"/>
        </w:rPr>
        <w:t xml:space="preserve">. [S12] Fortune Business Insights, </w:t>
      </w:r>
      <w:hyperlink w:history="1" r:id="rIdiyu5rgcfs9mja8ehirugd">
        <w:r>
          <w:rPr>
            <w:rStyle w:val="Hyperlink"/>
            <w:rFonts w:ascii="Calibri" w:cs="Calibri" w:eastAsia="Calibri" w:hAnsi="Calibri"/>
            <w:sz w:val="22"/>
            <w:szCs w:val="22"/>
          </w:rPr>
          <w:t xml:space="preserve">USV Market</w:t>
        </w:r>
      </w:hyperlink>
      <w:r>
        <w:rPr>
          <w:rFonts w:ascii="Calibri" w:cs="Calibri" w:eastAsia="Calibri" w:hAnsi="Calibri"/>
          <w:color w:val="1A1A1A"/>
          <w:sz w:val="22"/>
          <w:szCs w:val="22"/>
        </w:rPr>
        <w:t xml:space="preserve">. [S16] Applied Intuition, </w:t>
      </w:r>
      <w:hyperlink w:history="1" r:id="rIdg5prbr4fad8xm9vxfpge6">
        <w:r>
          <w:rPr>
            <w:rStyle w:val="Hyperlink"/>
            <w:rFonts w:ascii="Calibri" w:cs="Calibri" w:eastAsia="Calibri" w:hAnsi="Calibri"/>
            <w:sz w:val="22"/>
            <w:szCs w:val="22"/>
          </w:rPr>
          <w:t xml:space="preserve">Series F at $15B valuation</w:t>
        </w:r>
      </w:hyperlink>
      <w:r>
        <w:rPr>
          <w:rFonts w:ascii="Calibri" w:cs="Calibri" w:eastAsia="Calibri" w:hAnsi="Calibri"/>
          <w:color w:val="1A1A1A"/>
          <w:sz w:val="22"/>
          <w:szCs w:val="22"/>
        </w:rPr>
        <w:t xml:space="preserve">; Sacra, </w:t>
      </w:r>
      <w:hyperlink w:history="1" r:id="rIdfor9vcvq-tzyt9jpyysmj">
        <w:r>
          <w:rPr>
            <w:rStyle w:val="Hyperlink"/>
            <w:rFonts w:ascii="Calibri" w:cs="Calibri" w:eastAsia="Calibri" w:hAnsi="Calibri"/>
            <w:sz w:val="22"/>
            <w:szCs w:val="22"/>
          </w:rPr>
          <w:t xml:space="preserve">Applied Intuition revenue and model</w:t>
        </w:r>
      </w:hyperlink>
      <w:r>
        <w:rPr>
          <w:rFonts w:ascii="Calibri" w:cs="Calibri" w:eastAsia="Calibri" w:hAnsi="Calibri"/>
          <w:color w:val="1A1A1A"/>
          <w:sz w:val="22"/>
          <w:szCs w:val="22"/>
        </w:rPr>
        <w:t xml:space="preserve">.</w:t>
      </w:r>
    </w:p>
    <w:p>
      <w:pPr>
        <w:spacing w:after="160" w:line="276"/>
        <w:jc w:val="both"/>
      </w:pPr>
      <w:r>
        <w:rPr>
          <w:rFonts w:ascii="Calibri" w:cs="Calibri" w:eastAsia="Calibri" w:hAnsi="Calibri"/>
          <w:b/>
          <w:bCs/>
          <w:color w:val="1A1A1A"/>
          <w:sz w:val="22"/>
          <w:szCs w:val="22"/>
        </w:rPr>
        <w:t xml:space="preserve">Competitors and ecosystem.</w:t>
      </w:r>
      <w:r>
        <w:rPr>
          <w:rFonts w:ascii="Calibri" w:cs="Calibri" w:eastAsia="Calibri" w:hAnsi="Calibri"/>
          <w:color w:val="1A1A1A"/>
          <w:sz w:val="22"/>
          <w:szCs w:val="22"/>
        </w:rPr>
        <w:t xml:space="preserve"> [S13] Kongsberg Maritime, </w:t>
      </w:r>
      <w:hyperlink w:history="1" r:id="rIdfi96htvtotxardfw9y24m">
        <w:r>
          <w:rPr>
            <w:rStyle w:val="Hyperlink"/>
            <w:rFonts w:ascii="Calibri" w:cs="Calibri" w:eastAsia="Calibri" w:hAnsi="Calibri"/>
            <w:sz w:val="22"/>
            <w:szCs w:val="22"/>
          </w:rPr>
          <w:t xml:space="preserve">R&amp;D simulation</w:t>
        </w:r>
      </w:hyperlink>
      <w:r>
        <w:rPr>
          <w:rFonts w:ascii="Calibri" w:cs="Calibri" w:eastAsia="Calibri" w:hAnsi="Calibri"/>
          <w:color w:val="1A1A1A"/>
          <w:sz w:val="22"/>
          <w:szCs w:val="22"/>
        </w:rPr>
        <w:t xml:space="preserve"> and </w:t>
      </w:r>
      <w:hyperlink w:history="1" r:id="rIdsnhnccqaaam_biy_kti9j">
        <w:r>
          <w:rPr>
            <w:rStyle w:val="Hyperlink"/>
            <w:rFonts w:ascii="Calibri" w:cs="Calibri" w:eastAsia="Calibri" w:hAnsi="Calibri"/>
            <w:sz w:val="22"/>
            <w:szCs w:val="22"/>
          </w:rPr>
          <w:t xml:space="preserve">K-Sim</w:t>
        </w:r>
      </w:hyperlink>
      <w:r>
        <w:rPr>
          <w:rFonts w:ascii="Calibri" w:cs="Calibri" w:eastAsia="Calibri" w:hAnsi="Calibri"/>
          <w:color w:val="1A1A1A"/>
          <w:sz w:val="22"/>
          <w:szCs w:val="22"/>
        </w:rPr>
        <w:t xml:space="preserve">; AILiveSim and Wärtsilä R&amp;D simulator references per [S28]. [S14] Applied Intuition, </w:t>
      </w:r>
      <w:hyperlink w:history="1" r:id="rIdlkibgni2xz2wwjysriy9b">
        <w:r>
          <w:rPr>
            <w:rStyle w:val="Hyperlink"/>
            <w:rFonts w:ascii="Calibri" w:cs="Calibri" w:eastAsia="Calibri" w:hAnsi="Calibri"/>
            <w:sz w:val="22"/>
            <w:szCs w:val="22"/>
          </w:rPr>
          <w:t xml:space="preserve">Applied Intuition acquires EpiSci</w:t>
        </w:r>
      </w:hyperlink>
      <w:r>
        <w:rPr>
          <w:rFonts w:ascii="Calibri" w:cs="Calibri" w:eastAsia="Calibri" w:hAnsi="Calibri"/>
          <w:color w:val="1A1A1A"/>
          <w:sz w:val="22"/>
          <w:szCs w:val="22"/>
        </w:rPr>
        <w:t xml:space="preserve">. [S15] Defense News, </w:t>
      </w:r>
      <w:hyperlink w:history="1" r:id="rIdgydndoyrj3ygbp4vjiuz0">
        <w:r>
          <w:rPr>
            <w:rStyle w:val="Hyperlink"/>
            <w:rFonts w:ascii="Calibri" w:cs="Calibri" w:eastAsia="Calibri" w:hAnsi="Calibri"/>
            <w:sz w:val="22"/>
            <w:szCs w:val="22"/>
          </w:rPr>
          <w:t xml:space="preserve">Applied Intuition acquires EpiSci</w:t>
        </w:r>
      </w:hyperlink>
      <w:r>
        <w:rPr>
          <w:rFonts w:ascii="Calibri" w:cs="Calibri" w:eastAsia="Calibri" w:hAnsi="Calibri"/>
          <w:color w:val="1A1A1A"/>
          <w:sz w:val="22"/>
          <w:szCs w:val="22"/>
        </w:rPr>
        <w:t xml:space="preserve">. [S17] Ocean Autonomy Cluster, </w:t>
      </w:r>
      <w:hyperlink w:history="1" r:id="rIduchns98qujjmjyd8bmp_t">
        <w:r>
          <w:rPr>
            <w:rStyle w:val="Hyperlink"/>
            <w:rFonts w:ascii="Calibri" w:cs="Calibri" w:eastAsia="Calibri" w:hAnsi="Calibri"/>
            <w:sz w:val="22"/>
            <w:szCs w:val="22"/>
          </w:rPr>
          <w:t xml:space="preserve">Zeabuz expands into defense</w:t>
        </w:r>
      </w:hyperlink>
      <w:r>
        <w:rPr>
          <w:rFonts w:ascii="Calibri" w:cs="Calibri" w:eastAsia="Calibri" w:hAnsi="Calibri"/>
          <w:color w:val="1A1A1A"/>
          <w:sz w:val="22"/>
          <w:szCs w:val="22"/>
        </w:rPr>
        <w:t xml:space="preserve">; Marine Technology News, </w:t>
      </w:r>
      <w:hyperlink w:history="1" r:id="rIdohgagikvcnqd5gfmvkxj2">
        <w:r>
          <w:rPr>
            <w:rStyle w:val="Hyperlink"/>
            <w:rFonts w:ascii="Calibri" w:cs="Calibri" w:eastAsia="Calibri" w:hAnsi="Calibri"/>
            <w:sz w:val="22"/>
            <w:szCs w:val="22"/>
          </w:rPr>
          <w:t xml:space="preserve">Zeabuz $4M round</w:t>
        </w:r>
      </w:hyperlink>
      <w:r>
        <w:rPr>
          <w:rFonts w:ascii="Calibri" w:cs="Calibri" w:eastAsia="Calibri" w:hAnsi="Calibri"/>
          <w:color w:val="1A1A1A"/>
          <w:sz w:val="22"/>
          <w:szCs w:val="22"/>
        </w:rPr>
        <w:t xml:space="preserve">; CNN on </w:t>
      </w:r>
      <w:hyperlink w:history="1" r:id="rIdfou4narvfyxzpdtks3z_k">
        <w:r>
          <w:rPr>
            <w:rStyle w:val="Hyperlink"/>
            <w:rFonts w:ascii="Calibri" w:cs="Calibri" w:eastAsia="Calibri" w:hAnsi="Calibri"/>
            <w:sz w:val="22"/>
            <w:szCs w:val="22"/>
          </w:rPr>
          <w:t xml:space="preserve">Zelim</w:t>
        </w:r>
      </w:hyperlink>
      <w:r>
        <w:rPr>
          <w:rFonts w:ascii="Calibri" w:cs="Calibri" w:eastAsia="Calibri" w:hAnsi="Calibri"/>
          <w:color w:val="1A1A1A"/>
          <w:sz w:val="22"/>
          <w:szCs w:val="22"/>
        </w:rPr>
        <w:t xml:space="preserve">. [S18] Robotics (MDPI), </w:t>
      </w:r>
      <w:hyperlink w:history="1" r:id="rIdrzbrwp94i43av0cuwbxok">
        <w:r>
          <w:rPr>
            <w:rStyle w:val="Hyperlink"/>
            <w:rFonts w:ascii="Calibri" w:cs="Calibri" w:eastAsia="Calibri" w:hAnsi="Calibri"/>
            <w:sz w:val="22"/>
            <w:szCs w:val="22"/>
          </w:rPr>
          <w:t xml:space="preserve">Open-access simulation platform in the VRX environment</w:t>
        </w:r>
      </w:hyperlink>
      <w:r>
        <w:rPr>
          <w:rFonts w:ascii="Calibri" w:cs="Calibri" w:eastAsia="Calibri" w:hAnsi="Calibri"/>
          <w:color w:val="1A1A1A"/>
          <w:sz w:val="22"/>
          <w:szCs w:val="22"/>
        </w:rPr>
        <w:t xml:space="preserve">. [S19] arXiv 2504.06245, </w:t>
      </w:r>
      <w:hyperlink w:history="1" r:id="rIdcpa8j6xmniies71zbcw8r">
        <w:r>
          <w:rPr>
            <w:rStyle w:val="Hyperlink"/>
            <w:rFonts w:ascii="Calibri" w:cs="Calibri" w:eastAsia="Calibri" w:hAnsi="Calibri"/>
            <w:sz w:val="22"/>
            <w:szCs w:val="22"/>
          </w:rPr>
          <w:t xml:space="preserve">Underwater robotic simulators review</w:t>
        </w:r>
      </w:hyperlink>
      <w:r>
        <w:rPr>
          <w:rFonts w:ascii="Calibri" w:cs="Calibri" w:eastAsia="Calibri" w:hAnsi="Calibri"/>
          <w:color w:val="1A1A1A"/>
          <w:sz w:val="22"/>
          <w:szCs w:val="22"/>
        </w:rPr>
        <w:t xml:space="preserve"> (Stonefish/DAVE/HoloOcean/MARUS/UNav-Sim comparison; uncoupled-water gap). [S28] arXiv 2506.22174, </w:t>
      </w:r>
      <w:hyperlink w:history="1" r:id="rIdczkq-oclw7ebcqglcuhta">
        <w:r>
          <w:rPr>
            <w:rStyle w:val="Hyperlink"/>
            <w:rFonts w:ascii="Calibri" w:cs="Calibri" w:eastAsia="Calibri" w:hAnsi="Calibri"/>
            <w:sz w:val="22"/>
            <w:szCs w:val="22"/>
          </w:rPr>
          <w:t xml:space="preserve">ASVSim</w:t>
        </w:r>
      </w:hyperlink>
      <w:r>
        <w:rPr>
          <w:rFonts w:ascii="Calibri" w:cs="Calibri" w:eastAsia="Calibri" w:hAnsi="Calibri"/>
          <w:color w:val="1A1A1A"/>
          <w:sz w:val="22"/>
          <w:szCs w:val="22"/>
        </w:rPr>
        <w:t xml:space="preserve">.</w:t>
      </w:r>
    </w:p>
    <w:p>
      <w:pPr>
        <w:spacing w:after="160" w:line="276"/>
        <w:jc w:val="both"/>
      </w:pPr>
      <w:r>
        <w:rPr>
          <w:rFonts w:ascii="Calibri" w:cs="Calibri" w:eastAsia="Calibri" w:hAnsi="Calibri"/>
          <w:b/>
          <w:bCs/>
          <w:color w:val="1A1A1A"/>
          <w:sz w:val="22"/>
          <w:szCs w:val="22"/>
        </w:rPr>
        <w:t xml:space="preserve">Verification and sim-to-real literature.</w:t>
      </w:r>
      <w:r>
        <w:rPr>
          <w:rFonts w:ascii="Calibri" w:cs="Calibri" w:eastAsia="Calibri" w:hAnsi="Calibri"/>
          <w:color w:val="1A1A1A"/>
          <w:sz w:val="22"/>
          <w:szCs w:val="22"/>
        </w:rPr>
        <w:t xml:space="preserve"> [S20] arXiv 2606.12349, </w:t>
      </w:r>
      <w:hyperlink w:history="1" r:id="rIdl7st78amc5zcfwjwg44wi">
        <w:r>
          <w:rPr>
            <w:rStyle w:val="Hyperlink"/>
            <w:rFonts w:ascii="Calibri" w:cs="Calibri" w:eastAsia="Calibri" w:hAnsi="Calibri"/>
            <w:sz w:val="22"/>
            <w:szCs w:val="22"/>
          </w:rPr>
          <w:t xml:space="preserve">Traceable virtual sea trials in a Unity marine simulator</w:t>
        </w:r>
      </w:hyperlink>
      <w:r>
        <w:rPr>
          <w:rFonts w:ascii="Calibri" w:cs="Calibri" w:eastAsia="Calibri" w:hAnsi="Calibri"/>
          <w:color w:val="1A1A1A"/>
          <w:sz w:val="22"/>
          <w:szCs w:val="22"/>
        </w:rPr>
        <w:t xml:space="preserve">. [S21] arXiv 2603.28067, </w:t>
      </w:r>
      <w:hyperlink w:history="1" r:id="rIdmmpb16pvcae0nvkbzm0uw">
        <w:r>
          <w:rPr>
            <w:rStyle w:val="Hyperlink"/>
            <w:rFonts w:ascii="Calibri" w:cs="Calibri" w:eastAsia="Calibri" w:hAnsi="Calibri"/>
            <w:sz w:val="22"/>
            <w:szCs w:val="22"/>
          </w:rPr>
          <w:t xml:space="preserve">Generative framework for safety-critical encounter scenarios</w:t>
        </w:r>
      </w:hyperlink>
      <w:r>
        <w:rPr>
          <w:rFonts w:ascii="Calibri" w:cs="Calibri" w:eastAsia="Calibri" w:hAnsi="Calibri"/>
          <w:color w:val="1A1A1A"/>
          <w:sz w:val="22"/>
          <w:szCs w:val="22"/>
        </w:rPr>
        <w:t xml:space="preserve"> (Imazu benchmark family). [S22] ACM PACMSE, </w:t>
      </w:r>
      <w:hyperlink w:history="1" r:id="rIdmet9fgl38jjvs59xusseh">
        <w:r>
          <w:rPr>
            <w:rStyle w:val="Hyperlink"/>
            <w:rFonts w:ascii="Calibri" w:cs="Calibri" w:eastAsia="Calibri" w:hAnsi="Calibri"/>
            <w:sz w:val="22"/>
            <w:szCs w:val="22"/>
          </w:rPr>
          <w:t xml:space="preserve">Assessing scene generation for testing COLREGS compliance</w:t>
        </w:r>
      </w:hyperlink>
      <w:r>
        <w:rPr>
          <w:rFonts w:ascii="Calibri" w:cs="Calibri" w:eastAsia="Calibri" w:hAnsi="Calibri"/>
          <w:color w:val="1A1A1A"/>
          <w:sz w:val="22"/>
          <w:szCs w:val="22"/>
        </w:rPr>
        <w:t xml:space="preserve">. [S24] arXiv 2603.04057, </w:t>
      </w:r>
      <w:hyperlink w:history="1" r:id="rIdse7j6iwkg43lhubscxrky">
        <w:r>
          <w:rPr>
            <w:rStyle w:val="Hyperlink"/>
            <w:rFonts w:ascii="Calibri" w:cs="Calibri" w:eastAsia="Calibri" w:hAnsi="Calibri"/>
            <w:sz w:val="22"/>
            <w:szCs w:val="22"/>
          </w:rPr>
          <w:t xml:space="preserve">Sim2Sea: sim-to-real policy transfer for maritime navigation</w:t>
        </w:r>
      </w:hyperlink>
      <w:r>
        <w:rPr>
          <w:rFonts w:ascii="Calibri" w:cs="Calibri" w:eastAsia="Calibri" w:hAnsi="Calibri"/>
          <w:color w:val="1A1A1A"/>
          <w:sz w:val="22"/>
          <w:szCs w:val="22"/>
        </w:rPr>
        <w:t xml:space="preserve">. [S25] arXiv 2407.08263, </w:t>
      </w:r>
      <w:hyperlink w:history="1" r:id="rIdcfsem9lkreg0zwmo63ryn">
        <w:r>
          <w:rPr>
            <w:rStyle w:val="Hyperlink"/>
            <w:rFonts w:ascii="Calibri" w:cs="Calibri" w:eastAsia="Calibri" w:hAnsi="Calibri"/>
            <w:sz w:val="22"/>
            <w:szCs w:val="22"/>
          </w:rPr>
          <w:t xml:space="preserve">DRL framework for reducing the sim-to-real gap in ASV navigation</w:t>
        </w:r>
      </w:hyperlink>
      <w:r>
        <w:rPr>
          <w:rFonts w:ascii="Calibri" w:cs="Calibri" w:eastAsia="Calibri" w:hAnsi="Calibri"/>
          <w:color w:val="1A1A1A"/>
          <w:sz w:val="22"/>
          <w:szCs w:val="22"/>
        </w:rPr>
        <w:t xml:space="preserve">. [S26] arXiv 2505.06787, </w:t>
      </w:r>
      <w:hyperlink w:history="1" r:id="rIdk7rgpwzylrv9kbvnfc1cq">
        <w:r>
          <w:rPr>
            <w:rStyle w:val="Hyperlink"/>
            <w:rFonts w:ascii="Calibri" w:cs="Calibri" w:eastAsia="Calibri" w:hAnsi="Calibri"/>
            <w:sz w:val="22"/>
            <w:szCs w:val="22"/>
          </w:rPr>
          <w:t xml:space="preserve">Digital-physical testbed for ship autonomy studies</w:t>
        </w:r>
      </w:hyperlink>
      <w:r>
        <w:rPr>
          <w:rFonts w:ascii="Calibri" w:cs="Calibri" w:eastAsia="Calibri" w:hAnsi="Calibri"/>
          <w:color w:val="1A1A1A"/>
          <w:sz w:val="22"/>
          <w:szCs w:val="22"/>
        </w:rPr>
        <w:t xml:space="preserve"> (actuation-consistency caveat in coefficient identification).</w:t>
      </w:r>
    </w:p>
    <w:p>
      <w:pPr>
        <w:spacing w:after="160" w:line="276"/>
        <w:jc w:val="both"/>
      </w:pPr>
      <w:r>
        <w:rPr>
          <w:rFonts w:ascii="Calibri" w:cs="Calibri" w:eastAsia="Calibri" w:hAnsi="Calibri"/>
          <w:color w:val="1A1A1A"/>
          <w:sz w:val="22"/>
          <w:szCs w:val="22"/>
        </w:rPr>
        <w:t xml:space="preserve">Directional-caution note: S8–S12 are commercial market-research estimates with inconsistent definitions; this report uses them only as bounds and derives its serviceable-market view bottom-up in II.1.</w:t>
      </w:r>
    </w:p>
    <w:p>
      <w:pPr>
        <w:pStyle w:val="Heading1"/>
        <w:pBdr>
          <w:bottom w:val="single" w:color="D9E2F1" w:sz="6" w:space="4"/>
        </w:pBdr>
        <w:spacing w:after="160" w:before="360"/>
      </w:pPr>
      <w:r>
        <w:rPr>
          <w:rFonts w:ascii="Calibri" w:cs="Calibri" w:eastAsia="Calibri" w:hAnsi="Calibri"/>
          <w:b/>
          <w:bCs/>
          <w:color w:val="1F3864"/>
          <w:sz w:val="32"/>
          <w:szCs w:val="32"/>
        </w:rPr>
        <w:t xml:space="preserve">Appendix B — Discovery-call script (first ten calls)</w:t>
      </w:r>
    </w:p>
    <w:p>
      <w:pPr>
        <w:spacing w:after="160" w:line="276"/>
        <w:jc w:val="both"/>
      </w:pPr>
      <w:r>
        <w:rPr>
          <w:rFonts w:ascii="Calibri" w:cs="Calibri" w:eastAsia="Calibri" w:hAnsi="Calibri"/>
          <w:color w:val="1A1A1A"/>
          <w:sz w:val="22"/>
          <w:szCs w:val="22"/>
        </w:rPr>
        <w:t xml:space="preserve">Fifteen minutes, five questions, verbatim notes into the repo. (1) "Walk me through the last time you had to show a regulator, class surveyor, insurer, or customer that your vessel/stack behaves safely — what did you actually hand over?" (2) "What does your team do today when the autonomy software changes — what gets re-tested, and how long does it take?" (3) "Which document governs you first: national workboat/MASS guidance, class rules, the IMO MASS Code, something else?" (4) "If a tool turned a scenario battery into an assessor-ready evidence dossier overnight, what would that be worth per project — €2k, €10k, €30k — and whose budget pays: R&amp;D, compliance, or the project?" (5) "Who else should I talk to?" Success is not selling; it is a filled matrix of pathway × current practice × budget line × price anchor after ten rows, which Part IV's assumptions are then corrected against.</w:t>
      </w:r>
    </w:p>
    <w:p>
      <w:pPr>
        <w:pStyle w:val="Heading1"/>
        <w:pBdr>
          <w:bottom w:val="single" w:color="D9E2F1" w:sz="6" w:space="4"/>
        </w:pBdr>
        <w:spacing w:after="160" w:before="360"/>
      </w:pPr>
      <w:r>
        <w:rPr>
          <w:rFonts w:ascii="Calibri" w:cs="Calibri" w:eastAsia="Calibri" w:hAnsi="Calibri"/>
          <w:b/>
          <w:bCs/>
          <w:color w:val="1F3864"/>
          <w:sz w:val="32"/>
          <w:szCs w:val="32"/>
        </w:rPr>
        <w:t xml:space="preserve">Appendix C — MASS COLREGS Benchmark v1 (sketch)</w:t>
      </w:r>
    </w:p>
    <w:p>
      <w:pPr>
        <w:spacing w:after="160" w:line="276"/>
        <w:jc w:val="both"/>
      </w:pPr>
      <w:r>
        <w:rPr>
          <w:rFonts w:ascii="Calibri" w:cs="Calibri" w:eastAsia="Calibri" w:hAnsi="Calibri"/>
          <w:color w:val="1A1A1A"/>
          <w:sz w:val="22"/>
          <w:szCs w:val="22"/>
        </w:rPr>
        <w:t xml:space="preserve">Contents for the public benchmark of VII.2: encounters 1–6, two-vessel canon (head-on reciprocal; crossing give-way; crossing stand-on; overtaking on each side; overtaken); encounters 7–12, constrained variants (the same under sea-state 4, restricted visibility flag, and a traffic-lane boundary); encounters 13–20, multi-ship Imazu-style compounds [S21]. Each ships as: scenario YAML (operational context, own-ship state, target tracks, environment), expected-behavior envelope (rule references 8/13–17, CPA floor, maneuver-onset window), scoring definition (your conformance verdict + margins), and a reference baseline run. Versioned, permissively licensed, results page public. Acceptance of the benchmark by one external group unprompted = the first hard evidence for the Part VII thesis.</w:t>
      </w:r>
    </w:p>
    <w:sectPr>
      <w:headerReference w:type="default" r:id="rId7"/>
      <w:footerReference w:type="default" r:id="rId8"/>
      <w:pgSz w:w="11906" w:h="16838"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1" w:sz="4" w:space="2"/>
      </w:pBdr>
      <w:jc w:val="right"/>
    </w:pPr>
    <w:r>
      <w:rPr>
        <w:rFonts w:ascii="Calibri" w:cs="Calibri" w:eastAsia="Calibri" w:hAnsi="Calibri"/>
        <w:color w:val="595959"/>
        <w:sz w:val="16"/>
        <w:szCs w:val="16"/>
      </w:rPr>
      <w:t xml:space="preserve">NaviSense — From Demo to Instrument · internal red-team report · 14 Jul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5xs1udphtqj_rposscya" Type="http://schemas.openxmlformats.org/officeDocument/2006/relationships/hyperlink" Target="https://www.imo.org/en/mediacentre/pressbriefings/pages/imo-adopts-mass-code.aspx" TargetMode="External"/><Relationship Id="rId_1h35bysdlgcsbertk9to" Type="http://schemas.openxmlformats.org/officeDocument/2006/relationships/hyperlink" Target="https://www.dnv.com/news/2026/imo-mcs-111-new-mass-code-adopted/" TargetMode="External"/><Relationship Id="rId-k2j6zdfwqc5edw1v9ehc" Type="http://schemas.openxmlformats.org/officeDocument/2006/relationships/hyperlink" Target="https://www.imo.org/en/mediacentre/hottopics/pages/autonomous-shipping.aspx" TargetMode="External"/><Relationship Id="rIdjmqil-dt9h0bsbtoklgl1" Type="http://schemas.openxmlformats.org/officeDocument/2006/relationships/hyperlink" Target="https://www.imo.org/en/mediacentre/meetingsummaries/pages/preview-msc-111.aspx" TargetMode="External"/><Relationship Id="rIdg0l00boyd6iewglyrwpkd" Type="http://schemas.openxmlformats.org/officeDocument/2006/relationships/hyperlink" Target="https://gcaptain.com/imo-adopts-mass-code-the-autonomous-ship-moves-from-drawing-board-to-regulated-reality/" TargetMode="External"/><Relationship Id="rIdq4kisz0ctuhecslal6e2o" Type="http://schemas.openxmlformats.org/officeDocument/2006/relationships/hyperlink" Target="https://oceaneconomist.com/articles/imo-mass-code-autonomous-ships" TargetMode="External"/><Relationship Id="rIdcfyjpclwrg0n8onoshin9" Type="http://schemas.openxmlformats.org/officeDocument/2006/relationships/hyperlink" Target="https://www.dnv.com/news/2025/dnv-launches-class-notations-to-provide-framework-for-safe-development-of-autonomous-shipping-technologies/" TargetMode="External"/><Relationship Id="rIdfbbhcv75mi_fyyt4yzadh" Type="http://schemas.openxmlformats.org/officeDocument/2006/relationships/hyperlink" Target="https://www.dnv.com/maritime/autonomous-remotely-operated-ships/aros-class-notation/" TargetMode="External"/><Relationship Id="rIdrvsznzfusnq9e-ojk2z2f" Type="http://schemas.openxmlformats.org/officeDocument/2006/relationships/hyperlink" Target="https://www.dnv.com/digital-trust/recommended-practices/simulation-models-assurance-dnv-rp-0513/" TargetMode="External"/><Relationship Id="rId2q6cfrkc6tmrj-4lsunyo" Type="http://schemas.openxmlformats.org/officeDocument/2006/relationships/hyperlink" Target="https://www.dnv.com/research/review-2020/featured-projects/seaops-ship-operations-simulation/" TargetMode="External"/><Relationship Id="rIdwxigrnlwty1xlaxycpeya" Type="http://schemas.openxmlformats.org/officeDocument/2006/relationships/hyperlink" Target="https://marine-offshore.bureauveritas.com/ni641-guidelines-autonomous-shipping" TargetMode="External"/><Relationship Id="rIdkjdbokt1b65m1ugkp0brx" Type="http://schemas.openxmlformats.org/officeDocument/2006/relationships/hyperlink" Target="https://www.classnk.or.jp/hp/pdf/research/rd/2021/04_e04.pdf" TargetMode="External"/><Relationship Id="rIdlozfva2f7-zb8boodg0mn" Type="http://schemas.openxmlformats.org/officeDocument/2006/relationships/hyperlink" Target="https://www.mordorintelligence.com/industry-reports/autonomous-ships-market" TargetMode="External"/><Relationship Id="rId8iqjmtkos-n72fxrtj9al" Type="http://schemas.openxmlformats.org/officeDocument/2006/relationships/hyperlink" Target="https://www.grandviewresearch.com/industry-analysis/autonomous-ships-market" TargetMode="External"/><Relationship Id="rIdlrhcafgr8b4vugkaucwvs" Type="http://schemas.openxmlformats.org/officeDocument/2006/relationships/hyperlink" Target="https://www.mordorintelligence.com/industry-reports/unmanned-surface-vehicle-market" TargetMode="External"/><Relationship Id="rIdqayje0t0nsiceetmwktf5" Type="http://schemas.openxmlformats.org/officeDocument/2006/relationships/hyperlink" Target="https://www.marketsandmarkets.com/Market-Reports/unmanned-surface-vehicle-market-220162588.html" TargetMode="External"/><Relationship Id="rIdiyu5rgcfs9mja8ehirugd" Type="http://schemas.openxmlformats.org/officeDocument/2006/relationships/hyperlink" Target="https://www.fortunebusinessinsights.com/unmanned-surface-vehicle-usv-s-market-102526" TargetMode="External"/><Relationship Id="rIdg5prbr4fad8xm9vxfpge6" Type="http://schemas.openxmlformats.org/officeDocument/2006/relationships/hyperlink" Target="https://www.appliedintuition.com/press-releases/series-f" TargetMode="External"/><Relationship Id="rIdfor9vcvq-tzyt9jpyysmj" Type="http://schemas.openxmlformats.org/officeDocument/2006/relationships/hyperlink" Target="https://sacra.com/c/applied-intuition/" TargetMode="External"/><Relationship Id="rIdfi96htvtotxardfw9y24m" Type="http://schemas.openxmlformats.org/officeDocument/2006/relationships/hyperlink" Target="https://www.kongsbergmaritime.com/products/systems-and-solutions/solutions/rd-simulation/" TargetMode="External"/><Relationship Id="rIdsnhnccqaaam_biy_kti9j" Type="http://schemas.openxmlformats.org/officeDocument/2006/relationships/hyperlink" Target="https://www.kongsberg.com/maritime/products/simulation/" TargetMode="External"/><Relationship Id="rIdlkibgni2xz2wwjysriy9b" Type="http://schemas.openxmlformats.org/officeDocument/2006/relationships/hyperlink" Target="https://www.appliedintuition.com/news/applied-intuition-acquires-episci" TargetMode="External"/><Relationship Id="rIdgydndoyrj3ygbp4vjiuz0" Type="http://schemas.openxmlformats.org/officeDocument/2006/relationships/hyperlink" Target="https://www.defensenews.com/air/2025/02/06/applied-intuition-acquires-ai-software-firm-episci/" TargetMode="External"/><Relationship Id="rIduchns98qujjmjyd8bmp_t" Type="http://schemas.openxmlformats.org/officeDocument/2006/relationships/hyperlink" Target="https://oceanautonomy.no/en-us/oacnews/zeabuz-expands-into-defense-and-security-with-new-dual-use-autonomy-platform" TargetMode="External"/><Relationship Id="rIdohgagikvcnqd5gfmvkxj2" Type="http://schemas.openxmlformats.org/officeDocument/2006/relationships/hyperlink" Target="https://www.marinetechnologynews.com/news/zeabuz-secures-funding-round-661145" TargetMode="External"/><Relationship Id="rIdfou4narvfyxzpdtks3z_k" Type="http://schemas.openxmlformats.org/officeDocument/2006/relationships/hyperlink" Target="https://us.cnn.com/world/zelim-autonomous-lifeboat-hnk-spc-intl/" TargetMode="External"/><Relationship Id="rIdrzbrwp94i43av0cuwbxok" Type="http://schemas.openxmlformats.org/officeDocument/2006/relationships/hyperlink" Target="https://doi.org/10.3390/robotics14100147" TargetMode="External"/><Relationship Id="rIdcpa8j6xmniies71zbcw8r" Type="http://schemas.openxmlformats.org/officeDocument/2006/relationships/hyperlink" Target="https://arxiv.org/html/2504.06245v1" TargetMode="External"/><Relationship Id="rIdczkq-oclw7ebcqglcuhta" Type="http://schemas.openxmlformats.org/officeDocument/2006/relationships/hyperlink" Target="https://arxiv.org/pdf/2506.22174" TargetMode="External"/><Relationship Id="rIdl7st78amc5zcfwjwg44wi" Type="http://schemas.openxmlformats.org/officeDocument/2006/relationships/hyperlink" Target="https://arxiv.org/abs/2606.12349" TargetMode="External"/><Relationship Id="rIdmmpb16pvcae0nvkbzm0uw" Type="http://schemas.openxmlformats.org/officeDocument/2006/relationships/hyperlink" Target="https://arxiv.org/pdf/2603.28067" TargetMode="External"/><Relationship Id="rIdmet9fgl38jjvs59xusseh" Type="http://schemas.openxmlformats.org/officeDocument/2006/relationships/hyperlink" Target="https://dl.acm.org/doi/10.1145/3728919" TargetMode="External"/><Relationship Id="rIdse7j6iwkg43lhubscxrky" Type="http://schemas.openxmlformats.org/officeDocument/2006/relationships/hyperlink" Target="https://arxiv.org/pdf/2603.04057" TargetMode="External"/><Relationship Id="rIdcfsem9lkreg0zwmo63ryn" Type="http://schemas.openxmlformats.org/officeDocument/2006/relationships/hyperlink" Target="https://arxiv.org/pdf/2407.08263" TargetMode="External"/><Relationship Id="rIdk7rgpwzylrv9kbvnfc1cq" Type="http://schemas.openxmlformats.org/officeDocument/2006/relationships/hyperlink" Target="https://arxiv.org/html/2505.06787"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Demo to Instrument — NaviSense strategy &amp; validation report</dc:title>
  <dc:creator>NaviSyn Marine Solutions</dc:creator>
  <dc:description>Red-team strategy, market, regulatory alignment and validation report for NaviSense</dc:description>
  <cp:lastModifiedBy>Un-named</cp:lastModifiedBy>
  <cp:revision>1</cp:revision>
  <dcterms:created xsi:type="dcterms:W3CDTF">2026-07-14T11:27:09.125Z</dcterms:created>
  <dcterms:modified xsi:type="dcterms:W3CDTF">2026-07-14T11:27:09.125Z</dcterms:modified>
</cp:coreProperties>
</file>

<file path=docProps/custom.xml><?xml version="1.0" encoding="utf-8"?>
<Properties xmlns="http://schemas.openxmlformats.org/officeDocument/2006/custom-properties" xmlns:vt="http://schemas.openxmlformats.org/officeDocument/2006/docPropsVTypes"/>
</file>