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6C001">
      <w:pPr>
        <w:jc w:val="center"/>
        <w:rPr>
          <w:rFonts w:hint="eastAsia"/>
          <w:b/>
          <w:sz w:val="30"/>
          <w:szCs w:val="30"/>
          <w:highlight w:val="none"/>
        </w:rPr>
      </w:pPr>
      <w:r>
        <w:rPr>
          <w:rFonts w:hint="eastAsia"/>
          <w:b/>
          <w:sz w:val="30"/>
          <w:szCs w:val="30"/>
          <w:highlight w:val="none"/>
        </w:rPr>
        <w:t>北 京 邮 电 大 学</w:t>
      </w:r>
      <w:bookmarkStart w:id="0" w:name="_Toc108584824"/>
    </w:p>
    <w:p w14:paraId="1F3B0EDC">
      <w:pPr>
        <w:spacing w:line="400" w:lineRule="exact"/>
        <w:ind w:firstLine="600"/>
        <w:jc w:val="center"/>
        <w:rPr>
          <w:rFonts w:hint="eastAsia"/>
          <w:b/>
          <w:sz w:val="30"/>
          <w:szCs w:val="30"/>
          <w:highlight w:val="none"/>
        </w:rPr>
      </w:pPr>
      <w:r>
        <w:rPr>
          <w:rFonts w:hint="eastAsia"/>
          <w:b/>
          <w:sz w:val="30"/>
          <w:szCs w:val="30"/>
          <w:highlight w:val="none"/>
        </w:rPr>
        <w:t>本科毕业设计（论文）中期</w:t>
      </w:r>
      <w:bookmarkEnd w:id="0"/>
      <w:r>
        <w:rPr>
          <w:rFonts w:hint="eastAsia"/>
          <w:b/>
          <w:sz w:val="30"/>
          <w:szCs w:val="30"/>
          <w:highlight w:val="none"/>
        </w:rPr>
        <w:t>进展情况检查表</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632"/>
        <w:gridCol w:w="528"/>
        <w:gridCol w:w="660"/>
        <w:gridCol w:w="1806"/>
        <w:gridCol w:w="244"/>
        <w:gridCol w:w="975"/>
        <w:gridCol w:w="379"/>
        <w:gridCol w:w="1392"/>
        <w:gridCol w:w="1406"/>
        <w:gridCol w:w="1266"/>
      </w:tblGrid>
      <w:tr w14:paraId="76C83A4C">
        <w:trPr>
          <w:trHeight w:val="454" w:hRule="atLeast"/>
        </w:trPr>
        <w:tc>
          <w:tcPr>
            <w:tcW w:w="1862" w:type="dxa"/>
            <w:gridSpan w:val="3"/>
            <w:noWrap w:val="0"/>
            <w:vAlign w:val="center"/>
          </w:tcPr>
          <w:p w14:paraId="3B008421">
            <w:pPr>
              <w:jc w:val="center"/>
              <w:rPr>
                <w:highlight w:val="none"/>
              </w:rPr>
            </w:pPr>
            <w:r>
              <w:rPr>
                <w:rFonts w:hint="eastAsia"/>
                <w:highlight w:val="none"/>
              </w:rPr>
              <w:t>学院</w:t>
            </w:r>
          </w:p>
        </w:tc>
        <w:tc>
          <w:tcPr>
            <w:tcW w:w="3106" w:type="dxa"/>
            <w:gridSpan w:val="3"/>
            <w:noWrap w:val="0"/>
            <w:vAlign w:val="center"/>
          </w:tcPr>
          <w:p w14:paraId="78A7A880">
            <w:pPr>
              <w:ind w:left="17"/>
              <w:jc w:val="center"/>
              <w:rPr>
                <w:rFonts w:hint="default" w:eastAsia="宋体"/>
                <w:highlight w:val="none"/>
                <w:lang w:val="en-US" w:eastAsia="zh-CN"/>
              </w:rPr>
            </w:pPr>
            <w:r>
              <w:rPr>
                <w:rFonts w:hint="eastAsia"/>
                <w:highlight w:val="none"/>
                <w:lang w:val="en-US" w:eastAsia="zh-CN"/>
              </w:rPr>
              <w:t>网络空间安全学院</w:t>
            </w:r>
          </w:p>
        </w:tc>
        <w:tc>
          <w:tcPr>
            <w:tcW w:w="1800" w:type="dxa"/>
            <w:gridSpan w:val="2"/>
            <w:noWrap w:val="0"/>
            <w:vAlign w:val="center"/>
          </w:tcPr>
          <w:p w14:paraId="76828D9D">
            <w:pPr>
              <w:jc w:val="center"/>
              <w:rPr>
                <w:rFonts w:hint="eastAsia"/>
                <w:highlight w:val="none"/>
              </w:rPr>
            </w:pPr>
            <w:r>
              <w:rPr>
                <w:rFonts w:hint="eastAsia"/>
                <w:highlight w:val="none"/>
              </w:rPr>
              <w:t>专业</w:t>
            </w:r>
          </w:p>
        </w:tc>
        <w:tc>
          <w:tcPr>
            <w:tcW w:w="2518" w:type="dxa"/>
            <w:gridSpan w:val="2"/>
            <w:noWrap w:val="0"/>
            <w:vAlign w:val="center"/>
          </w:tcPr>
          <w:p w14:paraId="773AE1B3">
            <w:pPr>
              <w:jc w:val="center"/>
              <w:rPr>
                <w:rFonts w:hint="default" w:eastAsia="宋体"/>
                <w:highlight w:val="none"/>
                <w:lang w:val="en-US" w:eastAsia="zh-CN"/>
              </w:rPr>
            </w:pPr>
            <w:r>
              <w:rPr>
                <w:rFonts w:hint="eastAsia"/>
                <w:highlight w:val="none"/>
                <w:lang w:val="en-US" w:eastAsia="zh-CN"/>
              </w:rPr>
              <w:t>网络空间安全</w:t>
            </w:r>
          </w:p>
        </w:tc>
      </w:tr>
      <w:tr w14:paraId="5B007321">
        <w:trPr>
          <w:trHeight w:val="454" w:hRule="atLeast"/>
        </w:trPr>
        <w:tc>
          <w:tcPr>
            <w:tcW w:w="1862" w:type="dxa"/>
            <w:gridSpan w:val="3"/>
            <w:noWrap w:val="0"/>
            <w:vAlign w:val="center"/>
          </w:tcPr>
          <w:p w14:paraId="119D470E">
            <w:pPr>
              <w:spacing w:line="360" w:lineRule="auto"/>
              <w:jc w:val="center"/>
              <w:rPr>
                <w:highlight w:val="none"/>
              </w:rPr>
            </w:pPr>
            <w:r>
              <w:rPr>
                <w:rFonts w:hint="eastAsia"/>
                <w:highlight w:val="none"/>
              </w:rPr>
              <w:t>学生姓名</w:t>
            </w:r>
          </w:p>
        </w:tc>
        <w:tc>
          <w:tcPr>
            <w:tcW w:w="1846" w:type="dxa"/>
            <w:noWrap w:val="0"/>
            <w:vAlign w:val="center"/>
          </w:tcPr>
          <w:p w14:paraId="06899E7A">
            <w:pPr>
              <w:spacing w:line="360" w:lineRule="auto"/>
              <w:jc w:val="center"/>
              <w:rPr>
                <w:rFonts w:hint="eastAsia" w:eastAsia="宋体"/>
                <w:highlight w:val="none"/>
                <w:lang w:val="en-US" w:eastAsia="zh-CN"/>
              </w:rPr>
            </w:pPr>
            <w:r>
              <w:rPr>
                <w:rFonts w:hint="eastAsia"/>
                <w:highlight w:val="none"/>
                <w:lang w:val="en-US" w:eastAsia="zh-CN"/>
              </w:rPr>
              <w:t>张丽娜</w:t>
            </w:r>
          </w:p>
        </w:tc>
        <w:tc>
          <w:tcPr>
            <w:tcW w:w="1260" w:type="dxa"/>
            <w:gridSpan w:val="2"/>
            <w:noWrap w:val="0"/>
            <w:vAlign w:val="center"/>
          </w:tcPr>
          <w:p w14:paraId="25A6EDDC">
            <w:pPr>
              <w:spacing w:line="360" w:lineRule="auto"/>
              <w:jc w:val="center"/>
              <w:rPr>
                <w:highlight w:val="none"/>
              </w:rPr>
            </w:pPr>
            <w:r>
              <w:rPr>
                <w:rFonts w:hint="eastAsia"/>
                <w:highlight w:val="none"/>
              </w:rPr>
              <w:t>学号</w:t>
            </w:r>
          </w:p>
        </w:tc>
        <w:tc>
          <w:tcPr>
            <w:tcW w:w="1800" w:type="dxa"/>
            <w:gridSpan w:val="2"/>
            <w:noWrap w:val="0"/>
            <w:vAlign w:val="center"/>
          </w:tcPr>
          <w:p w14:paraId="5E4DC916">
            <w:pPr>
              <w:spacing w:line="360" w:lineRule="auto"/>
              <w:ind w:left="30"/>
              <w:jc w:val="center"/>
              <w:rPr>
                <w:rFonts w:hint="default" w:eastAsia="宋体"/>
                <w:highlight w:val="none"/>
                <w:lang w:val="en-US" w:eastAsia="zh-CN"/>
              </w:rPr>
            </w:pPr>
            <w:r>
              <w:rPr>
                <w:rFonts w:hint="eastAsia"/>
                <w:highlight w:val="none"/>
                <w:lang w:val="en-US" w:eastAsia="zh-CN"/>
              </w:rPr>
              <w:t>2022211673</w:t>
            </w:r>
          </w:p>
        </w:tc>
        <w:tc>
          <w:tcPr>
            <w:tcW w:w="1440" w:type="dxa"/>
            <w:noWrap w:val="0"/>
            <w:vAlign w:val="center"/>
          </w:tcPr>
          <w:p w14:paraId="003FC216">
            <w:pPr>
              <w:spacing w:line="360" w:lineRule="auto"/>
              <w:jc w:val="center"/>
              <w:rPr>
                <w:highlight w:val="none"/>
              </w:rPr>
            </w:pPr>
            <w:r>
              <w:rPr>
                <w:rFonts w:hint="eastAsia"/>
                <w:highlight w:val="none"/>
              </w:rPr>
              <w:t>班级</w:t>
            </w:r>
          </w:p>
        </w:tc>
        <w:tc>
          <w:tcPr>
            <w:tcW w:w="1078" w:type="dxa"/>
            <w:noWrap w:val="0"/>
            <w:vAlign w:val="center"/>
          </w:tcPr>
          <w:p w14:paraId="2BFC89A1">
            <w:pPr>
              <w:spacing w:line="360" w:lineRule="auto"/>
              <w:jc w:val="center"/>
              <w:rPr>
                <w:rFonts w:hint="default" w:eastAsia="宋体"/>
                <w:highlight w:val="none"/>
                <w:lang w:val="en-US" w:eastAsia="zh-CN"/>
              </w:rPr>
            </w:pPr>
            <w:r>
              <w:rPr>
                <w:rFonts w:hint="eastAsia"/>
                <w:highlight w:val="none"/>
                <w:lang w:val="en-US" w:eastAsia="zh-CN"/>
              </w:rPr>
              <w:t>2022211804</w:t>
            </w:r>
          </w:p>
        </w:tc>
      </w:tr>
      <w:tr w14:paraId="50B1CF6A">
        <w:trPr>
          <w:trHeight w:val="454" w:hRule="atLeast"/>
        </w:trPr>
        <w:tc>
          <w:tcPr>
            <w:tcW w:w="1862" w:type="dxa"/>
            <w:gridSpan w:val="3"/>
            <w:noWrap w:val="0"/>
            <w:vAlign w:val="center"/>
          </w:tcPr>
          <w:p w14:paraId="6DE72CFF">
            <w:pPr>
              <w:spacing w:line="360" w:lineRule="auto"/>
              <w:jc w:val="center"/>
              <w:rPr>
                <w:highlight w:val="none"/>
              </w:rPr>
            </w:pPr>
            <w:r>
              <w:rPr>
                <w:rFonts w:hint="eastAsia"/>
                <w:highlight w:val="none"/>
              </w:rPr>
              <w:t>指导教师姓名</w:t>
            </w:r>
          </w:p>
        </w:tc>
        <w:tc>
          <w:tcPr>
            <w:tcW w:w="1846" w:type="dxa"/>
            <w:noWrap w:val="0"/>
            <w:vAlign w:val="center"/>
          </w:tcPr>
          <w:p w14:paraId="78EFD555">
            <w:pPr>
              <w:spacing w:line="360" w:lineRule="auto"/>
              <w:jc w:val="center"/>
              <w:rPr>
                <w:rFonts w:hint="default" w:eastAsia="宋体"/>
                <w:highlight w:val="none"/>
                <w:lang w:val="en-US" w:eastAsia="zh-CN"/>
              </w:rPr>
            </w:pPr>
            <w:r>
              <w:rPr>
                <w:rFonts w:hint="eastAsia"/>
                <w:highlight w:val="none"/>
                <w:lang w:val="en-US" w:eastAsia="zh-CN"/>
              </w:rPr>
              <w:t>杨树杰</w:t>
            </w:r>
          </w:p>
        </w:tc>
        <w:tc>
          <w:tcPr>
            <w:tcW w:w="1260" w:type="dxa"/>
            <w:gridSpan w:val="2"/>
            <w:noWrap w:val="0"/>
            <w:vAlign w:val="center"/>
          </w:tcPr>
          <w:p w14:paraId="0E275D4E">
            <w:pPr>
              <w:spacing w:line="360" w:lineRule="auto"/>
              <w:jc w:val="center"/>
              <w:rPr>
                <w:highlight w:val="none"/>
              </w:rPr>
            </w:pPr>
            <w:r>
              <w:rPr>
                <w:rFonts w:hint="eastAsia"/>
                <w:highlight w:val="none"/>
              </w:rPr>
              <w:t>所在单位</w:t>
            </w:r>
          </w:p>
        </w:tc>
        <w:tc>
          <w:tcPr>
            <w:tcW w:w="1800" w:type="dxa"/>
            <w:gridSpan w:val="2"/>
            <w:noWrap w:val="0"/>
            <w:vAlign w:val="center"/>
          </w:tcPr>
          <w:p w14:paraId="63AAAE80">
            <w:pPr>
              <w:rPr>
                <w:sz w:val="24"/>
                <w:highlight w:val="none"/>
              </w:rPr>
            </w:pPr>
            <w:r>
              <w:rPr>
                <w:rFonts w:hint="eastAsia"/>
              </w:rPr>
              <w:t>计算机学院（国家示范性软件学院）</w:t>
            </w:r>
          </w:p>
        </w:tc>
        <w:tc>
          <w:tcPr>
            <w:tcW w:w="1440" w:type="dxa"/>
            <w:noWrap w:val="0"/>
            <w:vAlign w:val="center"/>
          </w:tcPr>
          <w:p w14:paraId="3EA0C0FF">
            <w:pPr>
              <w:ind w:firstLine="420" w:firstLineChars="200"/>
              <w:rPr>
                <w:sz w:val="24"/>
                <w:highlight w:val="none"/>
              </w:rPr>
            </w:pPr>
            <w:r>
              <w:rPr>
                <w:rFonts w:hint="eastAsia"/>
                <w:highlight w:val="none"/>
              </w:rPr>
              <w:t>职称</w:t>
            </w:r>
          </w:p>
        </w:tc>
        <w:tc>
          <w:tcPr>
            <w:tcW w:w="1078" w:type="dxa"/>
            <w:noWrap w:val="0"/>
            <w:vAlign w:val="center"/>
          </w:tcPr>
          <w:p w14:paraId="3C14E1B8">
            <w:pPr>
              <w:rPr>
                <w:rFonts w:hint="eastAsia" w:eastAsia="宋体"/>
                <w:sz w:val="24"/>
                <w:highlight w:val="none"/>
                <w:lang w:val="en-US" w:eastAsia="zh-CN"/>
              </w:rPr>
            </w:pPr>
            <w:r>
              <w:rPr>
                <w:rFonts w:hint="eastAsia"/>
                <w:sz w:val="24"/>
                <w:highlight w:val="none"/>
                <w:lang w:val="en-US" w:eastAsia="zh-CN"/>
              </w:rPr>
              <w:t>副教授</w:t>
            </w:r>
          </w:p>
        </w:tc>
      </w:tr>
      <w:tr w14:paraId="11229B6B">
        <w:trPr>
          <w:trHeight w:val="225" w:hRule="atLeast"/>
        </w:trPr>
        <w:tc>
          <w:tcPr>
            <w:tcW w:w="1862" w:type="dxa"/>
            <w:gridSpan w:val="3"/>
            <w:vMerge w:val="restart"/>
            <w:noWrap w:val="0"/>
            <w:vAlign w:val="center"/>
          </w:tcPr>
          <w:p w14:paraId="36F73710">
            <w:pPr>
              <w:jc w:val="center"/>
              <w:rPr>
                <w:bCs/>
                <w:szCs w:val="21"/>
                <w:highlight w:val="none"/>
              </w:rPr>
            </w:pPr>
            <w:r>
              <w:rPr>
                <w:rFonts w:hint="eastAsia"/>
                <w:bCs/>
                <w:szCs w:val="21"/>
                <w:highlight w:val="none"/>
              </w:rPr>
              <w:t>设计（论文）题目</w:t>
            </w:r>
          </w:p>
        </w:tc>
        <w:tc>
          <w:tcPr>
            <w:tcW w:w="7424" w:type="dxa"/>
            <w:gridSpan w:val="7"/>
            <w:noWrap w:val="0"/>
            <w:vAlign w:val="center"/>
          </w:tcPr>
          <w:p w14:paraId="1F3035F5">
            <w:pPr>
              <w:spacing w:line="360" w:lineRule="auto"/>
              <w:ind w:left="30"/>
              <w:rPr>
                <w:sz w:val="18"/>
                <w:szCs w:val="18"/>
                <w:highlight w:val="none"/>
              </w:rPr>
            </w:pPr>
            <w:r>
              <w:rPr>
                <w:rFonts w:hint="eastAsia"/>
                <w:sz w:val="18"/>
                <w:szCs w:val="18"/>
                <w:highlight w:val="none"/>
              </w:rPr>
              <w:t>（中文）</w:t>
            </w:r>
            <w:r>
              <w:rPr>
                <w:rFonts w:hint="eastAsia"/>
                <w:sz w:val="18"/>
                <w:szCs w:val="18"/>
              </w:rPr>
              <w:t>面向加密流量快速判决的可解释模型蒸馏方法研究</w:t>
            </w:r>
          </w:p>
        </w:tc>
      </w:tr>
      <w:tr w14:paraId="24481FED">
        <w:trPr>
          <w:trHeight w:val="225" w:hRule="atLeast"/>
        </w:trPr>
        <w:tc>
          <w:tcPr>
            <w:tcW w:w="1862" w:type="dxa"/>
            <w:gridSpan w:val="3"/>
            <w:vMerge w:val="continue"/>
            <w:noWrap w:val="0"/>
            <w:vAlign w:val="center"/>
          </w:tcPr>
          <w:p w14:paraId="6C8B0960">
            <w:pPr>
              <w:jc w:val="center"/>
              <w:rPr>
                <w:bCs/>
                <w:szCs w:val="21"/>
                <w:highlight w:val="none"/>
              </w:rPr>
            </w:pPr>
          </w:p>
        </w:tc>
        <w:tc>
          <w:tcPr>
            <w:tcW w:w="7424" w:type="dxa"/>
            <w:gridSpan w:val="7"/>
            <w:noWrap w:val="0"/>
            <w:vAlign w:val="center"/>
          </w:tcPr>
          <w:p w14:paraId="7D37F234">
            <w:pPr>
              <w:spacing w:line="360" w:lineRule="auto"/>
              <w:ind w:left="30"/>
              <w:rPr>
                <w:sz w:val="18"/>
                <w:szCs w:val="18"/>
                <w:highlight w:val="none"/>
              </w:rPr>
            </w:pPr>
            <w:r>
              <w:rPr>
                <w:rFonts w:hint="eastAsia"/>
                <w:sz w:val="18"/>
                <w:szCs w:val="18"/>
                <w:highlight w:val="none"/>
              </w:rPr>
              <w:t>（英文）</w:t>
            </w:r>
            <w:r>
              <w:rPr>
                <w:sz w:val="18"/>
                <w:szCs w:val="18"/>
              </w:rPr>
              <w:t>Research on Interpretable Model Distillation Methods for Fast Decision-Making in Encrypted Traffic Analysis</w:t>
            </w:r>
          </w:p>
        </w:tc>
      </w:tr>
      <w:tr w14:paraId="6400DD83">
        <w:trPr>
          <w:trHeight w:val="2874" w:hRule="atLeast"/>
        </w:trPr>
        <w:tc>
          <w:tcPr>
            <w:tcW w:w="643" w:type="dxa"/>
            <w:vMerge w:val="restart"/>
            <w:noWrap w:val="0"/>
            <w:vAlign w:val="center"/>
          </w:tcPr>
          <w:p w14:paraId="17F32464">
            <w:pPr>
              <w:jc w:val="center"/>
              <w:rPr>
                <w:bCs/>
                <w:sz w:val="24"/>
                <w:highlight w:val="none"/>
              </w:rPr>
            </w:pPr>
            <w:r>
              <w:rPr>
                <w:rFonts w:hint="eastAsia"/>
                <w:bCs/>
                <w:sz w:val="24"/>
                <w:highlight w:val="none"/>
              </w:rPr>
              <w:t>目前已完成任务</w:t>
            </w:r>
          </w:p>
        </w:tc>
        <w:tc>
          <w:tcPr>
            <w:tcW w:w="8643" w:type="dxa"/>
            <w:gridSpan w:val="9"/>
            <w:noWrap w:val="0"/>
            <w:vAlign w:val="top"/>
          </w:tcPr>
          <w:p w14:paraId="5A53426E">
            <w:pPr>
              <w:rPr>
                <w:rFonts w:hint="eastAsia" w:ascii="宋体" w:hAnsi="宋体" w:eastAsia="宋体"/>
                <w:bCs/>
                <w:sz w:val="18"/>
                <w:szCs w:val="18"/>
                <w:highlight w:val="none"/>
                <w:lang w:val="en-US" w:eastAsia="zh-CN"/>
              </w:rPr>
            </w:pPr>
            <w:r>
              <w:rPr>
                <w:rFonts w:hint="eastAsia" w:ascii="宋体" w:hAnsi="宋体"/>
                <w:bCs/>
                <w:szCs w:val="21"/>
                <w:highlight w:val="none"/>
              </w:rPr>
              <w:t>主要内容</w:t>
            </w:r>
            <w:r>
              <w:rPr>
                <w:rFonts w:hint="eastAsia" w:ascii="宋体" w:hAnsi="宋体"/>
                <w:bCs/>
                <w:szCs w:val="21"/>
                <w:highlight w:val="none"/>
                <w:lang w:eastAsia="zh-CN"/>
              </w:rPr>
              <w:t>：</w:t>
            </w:r>
            <w:r>
              <w:rPr>
                <w:rFonts w:hint="eastAsia" w:ascii="宋体" w:hAnsi="宋体"/>
                <w:bCs/>
                <w:sz w:val="18"/>
                <w:szCs w:val="18"/>
                <w:highlight w:val="none"/>
              </w:rPr>
              <w:t xml:space="preserve"> 毕业设计（论文）进展情况，字数一般不少于1000字</w:t>
            </w:r>
            <w:r>
              <w:rPr>
                <w:rFonts w:hint="eastAsia" w:ascii="宋体" w:hAnsi="宋体"/>
                <w:bCs/>
                <w:sz w:val="18"/>
                <w:szCs w:val="18"/>
                <w:highlight w:val="none"/>
                <w:lang w:eastAsia="zh-CN"/>
              </w:rPr>
              <w:t>。</w:t>
            </w:r>
          </w:p>
          <w:p w14:paraId="54493DF1">
            <w:pPr>
              <w:ind w:firstLine="420" w:firstLineChars="200"/>
              <w:rPr>
                <w:rFonts w:hint="eastAsia" w:ascii="宋体" w:hAnsi="宋体"/>
                <w:bCs/>
                <w:szCs w:val="21"/>
                <w:highlight w:val="none"/>
              </w:rPr>
            </w:pPr>
            <w:r>
              <w:rPr>
                <w:rFonts w:hint="eastAsia" w:ascii="宋体" w:hAnsi="宋体"/>
                <w:bCs/>
                <w:szCs w:val="21"/>
                <w:highlight w:val="none"/>
              </w:rPr>
              <w:t>截至目前，本课题已经完成了选题调研、数据整理、方法设计、模型实现以及初步实验验证等阶段性工作，整体进展与任务书要求基本一致，课题已经从方案构思进入到方法实现和结果分析阶段。</w:t>
            </w:r>
          </w:p>
          <w:p w14:paraId="2E0DA741">
            <w:pPr>
              <w:ind w:firstLine="420" w:firstLineChars="200"/>
              <w:rPr>
                <w:rFonts w:hint="eastAsia" w:ascii="宋体" w:hAnsi="宋体"/>
                <w:bCs/>
                <w:szCs w:val="21"/>
                <w:highlight w:val="none"/>
              </w:rPr>
            </w:pPr>
            <w:r>
              <w:rPr>
                <w:rFonts w:hint="eastAsia" w:ascii="宋体" w:hAnsi="宋体"/>
                <w:bCs/>
                <w:szCs w:val="21"/>
                <w:highlight w:val="none"/>
              </w:rPr>
              <w:t>围绕加密流量识别、知识蒸馏、模型轻量化和可解释性等内容，已完成相关文献资料的查阅和整理，对当前研究现状有了较为清晰的认识。通过对已有工作的梳理，可以看出，深度神经网络在加密流量识别任务中通常具有较高的分类性能，但模型结构较复杂、参数量较大，在实际部署时容易带来推理延迟和资源消耗问题。同时，深度模型普遍存在一定的黑盒特性，模型决策过程不够直观，这与网络安全场景下对可信分析和辅助决策的需求之间存在一定矛盾。基于这一认识，本课题将研究重点放在“轻量化”和“可解释性”两方面，希望在尽量保持识别性能的前提下，提高模型的部署效率，并增强模型输出的可分析性。</w:t>
            </w:r>
          </w:p>
          <w:p w14:paraId="1BFE7EF6">
            <w:pPr>
              <w:ind w:firstLine="420" w:firstLineChars="200"/>
              <w:rPr>
                <w:rFonts w:hint="eastAsia" w:ascii="宋体" w:hAnsi="宋体"/>
                <w:bCs/>
                <w:szCs w:val="21"/>
                <w:highlight w:val="none"/>
              </w:rPr>
            </w:pPr>
            <w:r>
              <w:rPr>
                <w:rFonts w:hint="eastAsia" w:ascii="宋体" w:hAnsi="宋体"/>
                <w:bCs/>
                <w:szCs w:val="21"/>
                <w:highlight w:val="none"/>
              </w:rPr>
              <w:t>在数据处理方面，已经完成了实验数据的整理与标签映射工作，并根据数据集文件命名规则对样本进行了统一归类。结合当前实验需要，构建了用于模型训练和测试的数据输入形式，能够将包序列相关信息有效组织为后续模型可直接使用的数据表示。同时，也提取了面向线性模型的统计特征，为透明学生模型的构建提供了输入基础。经过这一阶段处理，数据加载、划分、训练和评估流程已经可以较稳定地运行，为后续实验提供了保障。</w:t>
            </w:r>
          </w:p>
          <w:p w14:paraId="7472A0ED">
            <w:pPr>
              <w:ind w:firstLine="420" w:firstLineChars="200"/>
              <w:rPr>
                <w:rFonts w:hint="eastAsia" w:ascii="宋体" w:hAnsi="宋体"/>
                <w:bCs/>
                <w:szCs w:val="21"/>
                <w:highlight w:val="none"/>
              </w:rPr>
            </w:pPr>
            <w:r>
              <w:rPr>
                <w:rFonts w:hint="eastAsia" w:ascii="宋体" w:hAnsi="宋体"/>
                <w:bCs/>
                <w:szCs w:val="21"/>
                <w:highlight w:val="none"/>
              </w:rPr>
              <w:t>在方法设计方面，已完成课题核心方案的确定与实现。当前采用的是双学生蒸馏框架：以 Transformer 作为教师模型，用于学习较强的特征表达与分类能力；以 CNN 作为第一学生模型，直接学习教师模型的输出知识，用于承接教师模型的识别能力并满足轻量化部署需求；以 Logistic Regression 作为第二学生模型，在真实标签、教师 logits 和 CNN 输出 logits 三种监督信息的共同作用下进行训练。这样的设计并不是简单地增加一个学生模型，而是希望将预测能力和解释能力分别落实到不同结构上。CNN 学生主要承担实际识别任务，LR 学生则在统计特征空间内对教师知识和部署学生行为进行近似建模，从而提升模型的可解释性。整体思路与任务书中提出的“将大模型知识迁移到小型、结构透明的模型中”是相吻合的。</w:t>
            </w:r>
          </w:p>
          <w:p w14:paraId="69828301">
            <w:pPr>
              <w:ind w:firstLine="420" w:firstLineChars="200"/>
              <w:rPr>
                <w:rFonts w:hint="eastAsia" w:ascii="宋体" w:hAnsi="宋体"/>
                <w:bCs/>
                <w:szCs w:val="21"/>
                <w:highlight w:val="none"/>
              </w:rPr>
            </w:pPr>
            <w:r>
              <w:rPr>
                <w:rFonts w:hint="eastAsia" w:ascii="宋体" w:hAnsi="宋体"/>
                <w:bCs/>
                <w:szCs w:val="21"/>
                <w:highlight w:val="none"/>
              </w:rPr>
              <w:t>在模型实现方面，目前已经完成教师模型训练、CNN 学生蒸馏训练、不同约束方式下 LR 学生训练，以及实验结果统计等工作。整个实验流程已经打通，能够独立完成从训练到评估的基本闭环。从实现情况来看，现阶段已经不再停留于理论设想，而是形成了较为完整的实验方案和可复现的训练流程。</w:t>
            </w:r>
          </w:p>
          <w:p w14:paraId="738CA6CD">
            <w:pPr>
              <w:ind w:firstLine="420" w:firstLineChars="200"/>
              <w:rPr>
                <w:rFonts w:hint="eastAsia" w:ascii="宋体" w:hAnsi="宋体"/>
                <w:bCs/>
                <w:szCs w:val="21"/>
                <w:highlight w:val="none"/>
              </w:rPr>
            </w:pPr>
            <w:r>
              <w:rPr>
                <w:rFonts w:hint="eastAsia" w:ascii="宋体" w:hAnsi="宋体"/>
                <w:bCs/>
                <w:szCs w:val="21"/>
                <w:highlight w:val="none"/>
              </w:rPr>
              <w:t>从当前实验结果来看，教师模型 Transformer 的准确率为 85.0%，模型大小为 453.6 KB；CNN 学生模型准确率为 73.5%，模型大小为 10.0 KB；仅使用教师 logits 训练的 LR 模型准确率为 84.7%，模型大小为 0.8 KB；使用真实标签和 CNN 输出联合训练的 LR 模型准确率为 75.0%，模型大小为 0.8 KB；采用真实标签、教师 logits 和 CNN logits 多约束训练的 LR 模型准确率达到 85.4%，模型大小仍保持在 0.8 KB。现有结果说明，双学生框架在当前数据集上是可行的，尤其是多约束 LR 学生在保持极小模型规模的同时取得了较好的识别效果，说明教师知识与 CNN 行为信息之间存在一定互补性。与此同时，实验结果也体现出轻量化模型在模型体积上的明显优势，这为后续进一步分析方法有效性和部署价值提供了依据。</w:t>
            </w:r>
          </w:p>
          <w:p w14:paraId="5961ED4B">
            <w:pPr>
              <w:ind w:firstLine="420" w:firstLineChars="200"/>
              <w:rPr>
                <w:rFonts w:hint="eastAsia" w:ascii="宋体" w:hAnsi="宋体"/>
                <w:bCs/>
                <w:szCs w:val="21"/>
                <w:highlight w:val="none"/>
              </w:rPr>
            </w:pPr>
            <w:r>
              <w:rPr>
                <w:rFonts w:hint="eastAsia" w:ascii="宋体" w:hAnsi="宋体"/>
                <w:bCs/>
                <w:szCs w:val="21"/>
                <w:highlight w:val="none"/>
              </w:rPr>
              <w:t>从课题整体推进情况来看，现阶段已经完成了任务书中关于模型蒸馏方案设计、模型结构实现、实验测试与初步效果评估等主要内容，具备继续开展后续分析和论文撰写的基础。当前工作已经证明所提出的双学生蒸馏思路具有一定研究价值，也为后续完善实验结果、补充解释分析和完成论文写作奠定了较好的基础。</w:t>
            </w:r>
          </w:p>
          <w:p w14:paraId="43594202">
            <w:pPr>
              <w:rPr>
                <w:rFonts w:ascii="宋体" w:hAnsi="宋体"/>
                <w:bCs/>
                <w:szCs w:val="21"/>
                <w:highlight w:val="none"/>
              </w:rPr>
            </w:pPr>
          </w:p>
        </w:tc>
      </w:tr>
      <w:tr w14:paraId="02364EAB">
        <w:trPr>
          <w:trHeight w:val="62" w:hRule="atLeast"/>
        </w:trPr>
        <w:tc>
          <w:tcPr>
            <w:tcW w:w="643" w:type="dxa"/>
            <w:vMerge w:val="continue"/>
            <w:noWrap w:val="0"/>
            <w:vAlign w:val="center"/>
          </w:tcPr>
          <w:p w14:paraId="64EBFCA3">
            <w:pPr>
              <w:jc w:val="center"/>
              <w:rPr>
                <w:b/>
                <w:bCs/>
                <w:sz w:val="30"/>
                <w:szCs w:val="30"/>
                <w:highlight w:val="none"/>
              </w:rPr>
            </w:pPr>
          </w:p>
        </w:tc>
        <w:tc>
          <w:tcPr>
            <w:tcW w:w="8643" w:type="dxa"/>
            <w:gridSpan w:val="9"/>
            <w:noWrap w:val="0"/>
            <w:vAlign w:val="center"/>
          </w:tcPr>
          <w:p w14:paraId="3B90C806">
            <w:pPr>
              <w:rPr>
                <w:bCs/>
                <w:sz w:val="24"/>
                <w:highlight w:val="none"/>
              </w:rPr>
            </w:pPr>
            <w:r>
              <w:rPr>
                <w:rFonts w:hint="eastAsia"/>
                <w:bCs/>
                <w:sz w:val="24"/>
                <w:highlight w:val="none"/>
              </w:rPr>
              <w:t>是否符合任务书要求进度</w:t>
            </w:r>
            <w:r>
              <w:rPr>
                <w:bCs/>
                <w:sz w:val="24"/>
                <w:highlight w:val="none"/>
              </w:rPr>
              <w:t xml:space="preserve">            </w:t>
            </w:r>
            <w:r>
              <w:rPr>
                <w:rFonts w:hint="eastAsia"/>
                <w:bCs/>
                <w:sz w:val="24"/>
                <w:highlight w:val="none"/>
              </w:rPr>
              <w:t xml:space="preserve">是 </w:t>
            </w:r>
            <w:r>
              <w:rPr>
                <w:rFonts w:hint="eastAsia"/>
                <w:bCs/>
                <w:sz w:val="24"/>
                <w:highlight w:val="none"/>
                <w:lang w:eastAsia="zh-CN"/>
              </w:rPr>
              <w:t>☑</w:t>
            </w:r>
            <w:r>
              <w:rPr>
                <w:rFonts w:hint="eastAsia"/>
                <w:bCs/>
                <w:sz w:val="24"/>
                <w:highlight w:val="none"/>
              </w:rPr>
              <w:t xml:space="preserve">  </w:t>
            </w:r>
            <w:r>
              <w:rPr>
                <w:bCs/>
                <w:sz w:val="24"/>
                <w:highlight w:val="none"/>
              </w:rPr>
              <w:t xml:space="preserve">    </w:t>
            </w:r>
            <w:r>
              <w:rPr>
                <w:rFonts w:hint="eastAsia"/>
                <w:bCs/>
                <w:sz w:val="24"/>
                <w:highlight w:val="none"/>
              </w:rPr>
              <w:t>否 □</w:t>
            </w:r>
          </w:p>
        </w:tc>
      </w:tr>
      <w:tr w14:paraId="2F2DC1F2">
        <w:trPr>
          <w:cantSplit/>
          <w:trHeight w:val="1829" w:hRule="atLeast"/>
        </w:trPr>
        <w:tc>
          <w:tcPr>
            <w:tcW w:w="643" w:type="dxa"/>
            <w:vMerge w:val="restart"/>
            <w:noWrap w:val="0"/>
            <w:vAlign w:val="center"/>
          </w:tcPr>
          <w:p w14:paraId="004C5775">
            <w:pPr>
              <w:jc w:val="center"/>
              <w:rPr>
                <w:bCs/>
                <w:sz w:val="24"/>
                <w:highlight w:val="none"/>
              </w:rPr>
            </w:pPr>
            <w:r>
              <w:rPr>
                <w:rFonts w:hint="eastAsia"/>
                <w:bCs/>
                <w:sz w:val="24"/>
                <w:highlight w:val="none"/>
              </w:rPr>
              <w:t>尚需完成的任务</w:t>
            </w:r>
          </w:p>
        </w:tc>
        <w:tc>
          <w:tcPr>
            <w:tcW w:w="8643" w:type="dxa"/>
            <w:gridSpan w:val="9"/>
            <w:noWrap w:val="0"/>
            <w:vAlign w:val="center"/>
          </w:tcPr>
          <w:p w14:paraId="058152C2">
            <w:pPr>
              <w:rPr>
                <w:highlight w:val="none"/>
              </w:rPr>
            </w:pPr>
            <w:r>
              <w:rPr>
                <w:rFonts w:hint="eastAsia"/>
                <w:highlight w:val="none"/>
              </w:rPr>
              <w:t>后续还需要把现有实验做得更完整一些，补充几组必要的对比和分析结果，让最终结论更有说服力。模型评价指标也需要适当丰富，除了准确率和模型大小，还要增加一些更能反映分类效果的结果展示。可解释性部分还需要进一步整理，把 LR 模型中较重要的特征贡献分析出来，形成比较直观的结果。与此同时，论文正文也需要逐步完成，重点是方法设计、实验设置和结果分析几个部分。</w:t>
            </w:r>
          </w:p>
        </w:tc>
      </w:tr>
      <w:tr w14:paraId="1DBF0D1B">
        <w:trPr>
          <w:cantSplit/>
          <w:trHeight w:val="317" w:hRule="atLeast"/>
        </w:trPr>
        <w:tc>
          <w:tcPr>
            <w:tcW w:w="643" w:type="dxa"/>
            <w:vMerge w:val="continue"/>
            <w:noWrap w:val="0"/>
            <w:vAlign w:val="center"/>
          </w:tcPr>
          <w:p w14:paraId="385459A3">
            <w:pPr>
              <w:jc w:val="center"/>
              <w:rPr>
                <w:b/>
                <w:bCs/>
                <w:sz w:val="30"/>
                <w:szCs w:val="30"/>
                <w:highlight w:val="none"/>
              </w:rPr>
            </w:pPr>
          </w:p>
        </w:tc>
        <w:tc>
          <w:tcPr>
            <w:tcW w:w="8643" w:type="dxa"/>
            <w:gridSpan w:val="9"/>
            <w:noWrap w:val="0"/>
            <w:vAlign w:val="center"/>
          </w:tcPr>
          <w:p w14:paraId="6CC0D3F6">
            <w:pPr>
              <w:rPr>
                <w:rFonts w:hint="eastAsia" w:eastAsia="宋体"/>
                <w:bCs/>
                <w:sz w:val="24"/>
                <w:highlight w:val="none"/>
                <w:lang w:val="en-US" w:eastAsia="zh-CN"/>
              </w:rPr>
            </w:pPr>
            <w:r>
              <w:rPr>
                <w:rFonts w:hint="eastAsia"/>
                <w:bCs/>
                <w:sz w:val="24"/>
                <w:highlight w:val="none"/>
              </w:rPr>
              <w:t>是否可以按期完成设计（论文）</w:t>
            </w:r>
            <w:r>
              <w:rPr>
                <w:bCs/>
                <w:sz w:val="24"/>
                <w:highlight w:val="none"/>
              </w:rPr>
              <w:t xml:space="preserve">       </w:t>
            </w:r>
            <w:r>
              <w:rPr>
                <w:rFonts w:hint="eastAsia"/>
                <w:bCs/>
                <w:sz w:val="24"/>
                <w:highlight w:val="none"/>
                <w:lang w:eastAsia="zh-CN"/>
              </w:rPr>
              <w:t>☑</w:t>
            </w:r>
            <w:r>
              <w:rPr>
                <w:rFonts w:hint="eastAsia"/>
                <w:bCs/>
                <w:sz w:val="24"/>
                <w:highlight w:val="none"/>
                <w:lang w:val="en-US" w:eastAsia="zh-CN"/>
              </w:rPr>
              <w:t xml:space="preserve">是 </w:t>
            </w:r>
            <w:r>
              <w:rPr>
                <w:rFonts w:hint="eastAsia"/>
                <w:bCs/>
                <w:sz w:val="24"/>
                <w:highlight w:val="none"/>
              </w:rPr>
              <w:t xml:space="preserve">  </w:t>
            </w:r>
            <w:r>
              <w:rPr>
                <w:bCs/>
                <w:sz w:val="24"/>
                <w:highlight w:val="none"/>
              </w:rPr>
              <w:t xml:space="preserve">    </w:t>
            </w:r>
            <w:r>
              <w:rPr>
                <w:rFonts w:hint="eastAsia"/>
                <w:bCs/>
                <w:sz w:val="24"/>
                <w:highlight w:val="none"/>
                <w:lang w:val="en-US" w:eastAsia="zh-CN"/>
              </w:rPr>
              <w:t xml:space="preserve"> </w:t>
            </w:r>
            <w:r>
              <w:rPr>
                <w:rFonts w:hint="eastAsia"/>
                <w:bCs/>
                <w:sz w:val="24"/>
                <w:highlight w:val="none"/>
              </w:rPr>
              <w:t>□</w:t>
            </w:r>
            <w:r>
              <w:rPr>
                <w:rFonts w:hint="eastAsia"/>
                <w:bCs/>
                <w:sz w:val="24"/>
                <w:highlight w:val="none"/>
                <w:lang w:val="en-US" w:eastAsia="zh-CN"/>
              </w:rPr>
              <w:t>否</w:t>
            </w:r>
          </w:p>
        </w:tc>
      </w:tr>
      <w:tr w14:paraId="17C0AA0A">
        <w:trPr>
          <w:cantSplit/>
          <w:trHeight w:val="1364" w:hRule="atLeast"/>
        </w:trPr>
        <w:tc>
          <w:tcPr>
            <w:tcW w:w="643" w:type="dxa"/>
            <w:vMerge w:val="restart"/>
            <w:noWrap w:val="0"/>
            <w:vAlign w:val="center"/>
          </w:tcPr>
          <w:p w14:paraId="219B5229">
            <w:pPr>
              <w:jc w:val="center"/>
              <w:rPr>
                <w:bCs/>
                <w:sz w:val="24"/>
                <w:highlight w:val="none"/>
              </w:rPr>
            </w:pPr>
            <w:r>
              <w:rPr>
                <w:rFonts w:hint="eastAsia"/>
                <w:bCs/>
                <w:sz w:val="24"/>
                <w:highlight w:val="none"/>
              </w:rPr>
              <w:t>存在问题和解决办法</w:t>
            </w:r>
          </w:p>
        </w:tc>
        <w:tc>
          <w:tcPr>
            <w:tcW w:w="532" w:type="dxa"/>
            <w:noWrap w:val="0"/>
            <w:vAlign w:val="center"/>
          </w:tcPr>
          <w:p w14:paraId="2B696407">
            <w:pPr>
              <w:jc w:val="center"/>
              <w:rPr>
                <w:bCs/>
                <w:sz w:val="24"/>
                <w:highlight w:val="none"/>
              </w:rPr>
            </w:pPr>
            <w:r>
              <w:rPr>
                <w:rFonts w:hint="eastAsia"/>
                <w:bCs/>
                <w:sz w:val="24"/>
                <w:highlight w:val="none"/>
              </w:rPr>
              <w:t>存</w:t>
            </w:r>
          </w:p>
          <w:p w14:paraId="5AC6DCDE">
            <w:pPr>
              <w:jc w:val="center"/>
              <w:rPr>
                <w:bCs/>
                <w:sz w:val="24"/>
                <w:highlight w:val="none"/>
              </w:rPr>
            </w:pPr>
            <w:r>
              <w:rPr>
                <w:rFonts w:hint="eastAsia"/>
                <w:bCs/>
                <w:sz w:val="24"/>
                <w:highlight w:val="none"/>
              </w:rPr>
              <w:t>在</w:t>
            </w:r>
          </w:p>
          <w:p w14:paraId="6C59DC79">
            <w:pPr>
              <w:jc w:val="center"/>
              <w:rPr>
                <w:bCs/>
                <w:sz w:val="24"/>
                <w:highlight w:val="none"/>
              </w:rPr>
            </w:pPr>
            <w:r>
              <w:rPr>
                <w:rFonts w:hint="eastAsia"/>
                <w:bCs/>
                <w:sz w:val="24"/>
                <w:highlight w:val="none"/>
              </w:rPr>
              <w:t>问</w:t>
            </w:r>
          </w:p>
          <w:p w14:paraId="496B52F2">
            <w:pPr>
              <w:jc w:val="center"/>
              <w:rPr>
                <w:bCs/>
                <w:sz w:val="24"/>
                <w:highlight w:val="none"/>
              </w:rPr>
            </w:pPr>
            <w:r>
              <w:rPr>
                <w:rFonts w:hint="eastAsia"/>
                <w:bCs/>
                <w:sz w:val="24"/>
                <w:highlight w:val="none"/>
              </w:rPr>
              <w:t>题</w:t>
            </w:r>
          </w:p>
        </w:tc>
        <w:tc>
          <w:tcPr>
            <w:tcW w:w="8111" w:type="dxa"/>
            <w:gridSpan w:val="8"/>
            <w:noWrap w:val="0"/>
            <w:vAlign w:val="center"/>
          </w:tcPr>
          <w:p w14:paraId="4E217E0C">
            <w:pPr>
              <w:keepNext w:val="0"/>
              <w:keepLines w:val="0"/>
              <w:widowControl/>
              <w:suppressLineNumbers w:val="0"/>
              <w:jc w:val="left"/>
              <w:rPr>
                <w:rFonts w:hint="eastAsia"/>
                <w:highlight w:val="none"/>
              </w:rPr>
            </w:pPr>
            <w:r>
              <w:rPr>
                <w:rFonts w:hint="eastAsia"/>
                <w:highlight w:val="none"/>
              </w:rPr>
              <w:t>目前的实验结果已经具备一定参考价值，但整体稳定性还需要继续验证，现阶段的结论仍然属于阶段性结果。评价指标相对还比较单一，暂时还不足以全面说明模型在各类别上的表现。双学生框架虽然已经实现，但在论文表述上还需要进一步打磨，尤其是 LR 学生的定位应当更加准确。可解释性部分目前也还缺少更具体的结果展示，这部分还需要继续补充。</w:t>
            </w:r>
          </w:p>
        </w:tc>
      </w:tr>
      <w:tr w14:paraId="3CCAE25F">
        <w:trPr>
          <w:trHeight w:val="1774" w:hRule="atLeast"/>
        </w:trPr>
        <w:tc>
          <w:tcPr>
            <w:tcW w:w="643" w:type="dxa"/>
            <w:vMerge w:val="continue"/>
            <w:noWrap w:val="0"/>
            <w:vAlign w:val="center"/>
          </w:tcPr>
          <w:p w14:paraId="02E0764D">
            <w:pPr>
              <w:jc w:val="center"/>
              <w:rPr>
                <w:b/>
                <w:bCs/>
                <w:sz w:val="30"/>
                <w:szCs w:val="30"/>
                <w:highlight w:val="none"/>
              </w:rPr>
            </w:pPr>
          </w:p>
        </w:tc>
        <w:tc>
          <w:tcPr>
            <w:tcW w:w="532" w:type="dxa"/>
            <w:noWrap w:val="0"/>
            <w:vAlign w:val="center"/>
          </w:tcPr>
          <w:p w14:paraId="7FDF837C">
            <w:pPr>
              <w:jc w:val="center"/>
              <w:rPr>
                <w:bCs/>
                <w:sz w:val="24"/>
                <w:highlight w:val="none"/>
              </w:rPr>
            </w:pPr>
            <w:r>
              <w:rPr>
                <w:rFonts w:hint="eastAsia"/>
                <w:bCs/>
                <w:sz w:val="24"/>
                <w:highlight w:val="none"/>
              </w:rPr>
              <w:t>拟</w:t>
            </w:r>
          </w:p>
          <w:p w14:paraId="65929A45">
            <w:pPr>
              <w:jc w:val="center"/>
              <w:rPr>
                <w:bCs/>
                <w:sz w:val="24"/>
                <w:highlight w:val="none"/>
              </w:rPr>
            </w:pPr>
            <w:r>
              <w:rPr>
                <w:rFonts w:hint="eastAsia"/>
                <w:bCs/>
                <w:sz w:val="24"/>
                <w:highlight w:val="none"/>
              </w:rPr>
              <w:t>采</w:t>
            </w:r>
          </w:p>
          <w:p w14:paraId="42E44ADF">
            <w:pPr>
              <w:jc w:val="center"/>
              <w:rPr>
                <w:bCs/>
                <w:sz w:val="24"/>
                <w:highlight w:val="none"/>
              </w:rPr>
            </w:pPr>
            <w:r>
              <w:rPr>
                <w:rFonts w:hint="eastAsia"/>
                <w:bCs/>
                <w:sz w:val="24"/>
                <w:highlight w:val="none"/>
              </w:rPr>
              <w:t>取</w:t>
            </w:r>
          </w:p>
          <w:p w14:paraId="27C79A1F">
            <w:pPr>
              <w:jc w:val="center"/>
              <w:rPr>
                <w:bCs/>
                <w:sz w:val="24"/>
                <w:highlight w:val="none"/>
              </w:rPr>
            </w:pPr>
            <w:r>
              <w:rPr>
                <w:rFonts w:hint="eastAsia"/>
                <w:bCs/>
                <w:sz w:val="24"/>
                <w:highlight w:val="none"/>
              </w:rPr>
              <w:t>的</w:t>
            </w:r>
          </w:p>
          <w:p w14:paraId="69E5CD7E">
            <w:pPr>
              <w:jc w:val="center"/>
              <w:rPr>
                <w:bCs/>
                <w:sz w:val="24"/>
                <w:highlight w:val="none"/>
              </w:rPr>
            </w:pPr>
            <w:r>
              <w:rPr>
                <w:rFonts w:hint="eastAsia"/>
                <w:bCs/>
                <w:sz w:val="24"/>
                <w:highlight w:val="none"/>
              </w:rPr>
              <w:t>办</w:t>
            </w:r>
          </w:p>
          <w:p w14:paraId="37F3E84E">
            <w:pPr>
              <w:jc w:val="center"/>
              <w:rPr>
                <w:bCs/>
                <w:sz w:val="24"/>
                <w:highlight w:val="none"/>
              </w:rPr>
            </w:pPr>
            <w:r>
              <w:rPr>
                <w:rFonts w:hint="eastAsia"/>
                <w:bCs/>
                <w:sz w:val="24"/>
                <w:highlight w:val="none"/>
              </w:rPr>
              <w:t>法</w:t>
            </w:r>
          </w:p>
        </w:tc>
        <w:tc>
          <w:tcPr>
            <w:tcW w:w="8111" w:type="dxa"/>
            <w:gridSpan w:val="8"/>
            <w:noWrap w:val="0"/>
            <w:vAlign w:val="top"/>
          </w:tcPr>
          <w:p w14:paraId="69F4BAEC">
            <w:pPr>
              <w:keepNext w:val="0"/>
              <w:keepLines w:val="0"/>
              <w:widowControl/>
              <w:suppressLineNumbers w:val="0"/>
              <w:jc w:val="left"/>
              <w:rPr>
                <w:highlight w:val="none"/>
              </w:rPr>
            </w:pPr>
            <w:r>
              <w:rPr>
                <w:rFonts w:hint="eastAsia"/>
                <w:highlight w:val="none"/>
              </w:rPr>
              <w:t>接下来会在现有实验基础上补充重复实验和对比实验，验证结果的稳定性，并增加更合适的评价指标来支撑分析。对于双学生方法的表述，会在论文中明确区分 CNN 的预测作用和 LR 的解释作用，使方法逻辑更加清楚。可解释性方面，准备结合 LR 的系数和特征贡献结果做进</w:t>
            </w:r>
            <w:r>
              <w:rPr>
                <w:rFonts w:hint="eastAsia"/>
                <w:highlight w:val="none"/>
                <w:lang w:val="en-US" w:eastAsia="zh-CN"/>
              </w:rPr>
              <w:t>5</w:t>
            </w:r>
            <w:r>
              <w:rPr>
                <w:rFonts w:hint="eastAsia"/>
                <w:highlight w:val="none"/>
              </w:rPr>
              <w:t>一步分析，把模型判别依据展示出来。论文写作也会同步推进，边完善实验边整理文字，避免后期集中堆积。</w:t>
            </w:r>
          </w:p>
        </w:tc>
      </w:tr>
      <w:tr w14:paraId="2C86E8E8">
        <w:trPr>
          <w:trHeight w:val="420" w:hRule="atLeast"/>
        </w:trPr>
        <w:tc>
          <w:tcPr>
            <w:tcW w:w="1175" w:type="dxa"/>
            <w:gridSpan w:val="2"/>
            <w:tcBorders>
              <w:bottom w:val="single" w:color="auto" w:sz="4" w:space="0"/>
            </w:tcBorders>
            <w:noWrap w:val="0"/>
            <w:vAlign w:val="center"/>
          </w:tcPr>
          <w:p w14:paraId="0BE46E15">
            <w:pPr>
              <w:rPr>
                <w:sz w:val="24"/>
                <w:highlight w:val="none"/>
              </w:rPr>
            </w:pPr>
            <w:r>
              <w:rPr>
                <w:rFonts w:hint="eastAsia"/>
                <w:sz w:val="24"/>
                <w:highlight w:val="none"/>
              </w:rPr>
              <w:t>指导教师签字</w:t>
            </w:r>
          </w:p>
        </w:tc>
        <w:tc>
          <w:tcPr>
            <w:tcW w:w="2778" w:type="dxa"/>
            <w:gridSpan w:val="3"/>
            <w:tcBorders>
              <w:bottom w:val="single" w:color="auto" w:sz="4" w:space="0"/>
              <w:right w:val="single" w:color="auto" w:sz="4" w:space="0"/>
            </w:tcBorders>
            <w:noWrap w:val="0"/>
            <w:vAlign w:val="center"/>
          </w:tcPr>
          <w:p w14:paraId="17FBD95B">
            <w:pPr>
              <w:jc w:val="center"/>
              <w:rPr>
                <w:highlight w:val="none"/>
              </w:rPr>
            </w:pPr>
            <w:r>
              <w:drawing>
                <wp:inline distT="0" distB="0" distL="114300" distR="114300">
                  <wp:extent cx="843915" cy="294640"/>
                  <wp:effectExtent l="0" t="0" r="1968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843915" cy="294640"/>
                          </a:xfrm>
                          <a:prstGeom prst="rect">
                            <a:avLst/>
                          </a:prstGeom>
                          <a:noFill/>
                          <a:ln>
                            <a:noFill/>
                          </a:ln>
                        </pic:spPr>
                      </pic:pic>
                    </a:graphicData>
                  </a:graphic>
                </wp:inline>
              </w:drawing>
            </w:r>
          </w:p>
        </w:tc>
        <w:tc>
          <w:tcPr>
            <w:tcW w:w="1394" w:type="dxa"/>
            <w:gridSpan w:val="2"/>
            <w:tcBorders>
              <w:left w:val="single" w:color="auto" w:sz="4" w:space="0"/>
              <w:bottom w:val="single" w:color="auto" w:sz="4" w:space="0"/>
              <w:right w:val="single" w:color="auto" w:sz="4" w:space="0"/>
            </w:tcBorders>
            <w:noWrap w:val="0"/>
            <w:vAlign w:val="center"/>
          </w:tcPr>
          <w:p w14:paraId="34213C96">
            <w:pPr>
              <w:jc w:val="center"/>
              <w:rPr>
                <w:bCs/>
                <w:sz w:val="24"/>
                <w:highlight w:val="none"/>
              </w:rPr>
            </w:pPr>
            <w:r>
              <w:rPr>
                <w:rFonts w:hint="eastAsia"/>
                <w:bCs/>
                <w:sz w:val="24"/>
                <w:highlight w:val="none"/>
              </w:rPr>
              <w:t>日期</w:t>
            </w:r>
          </w:p>
        </w:tc>
        <w:tc>
          <w:tcPr>
            <w:tcW w:w="3939" w:type="dxa"/>
            <w:gridSpan w:val="3"/>
            <w:tcBorders>
              <w:left w:val="single" w:color="auto" w:sz="4" w:space="0"/>
              <w:bottom w:val="single" w:color="auto" w:sz="4" w:space="0"/>
            </w:tcBorders>
            <w:noWrap w:val="0"/>
            <w:vAlign w:val="center"/>
          </w:tcPr>
          <w:p w14:paraId="13807D36">
            <w:pPr>
              <w:ind w:firstLine="1260" w:firstLineChars="600"/>
              <w:rPr>
                <w:highlight w:val="none"/>
              </w:rPr>
            </w:pPr>
            <w:r>
              <w:rPr>
                <w:rFonts w:hint="eastAsia"/>
                <w:highlight w:val="none"/>
                <w:lang w:val="en-US" w:eastAsia="zh-CN"/>
              </w:rPr>
              <w:t>2026</w:t>
            </w:r>
            <w:r>
              <w:rPr>
                <w:rFonts w:hint="eastAsia"/>
                <w:highlight w:val="none"/>
              </w:rPr>
              <w:t xml:space="preserve">年   </w:t>
            </w:r>
            <w:r>
              <w:rPr>
                <w:rFonts w:hint="eastAsia"/>
                <w:highlight w:val="none"/>
                <w:lang w:val="en-US" w:eastAsia="zh-CN"/>
              </w:rPr>
              <w:t>3</w:t>
            </w:r>
            <w:r>
              <w:rPr>
                <w:rFonts w:hint="eastAsia"/>
                <w:highlight w:val="none"/>
              </w:rPr>
              <w:t xml:space="preserve"> 月   </w:t>
            </w:r>
            <w:r>
              <w:rPr>
                <w:rFonts w:hint="eastAsia"/>
                <w:highlight w:val="none"/>
                <w:lang w:val="en-US" w:eastAsia="zh-CN"/>
              </w:rPr>
              <w:t>14</w:t>
            </w:r>
            <w:r>
              <w:rPr>
                <w:rFonts w:hint="eastAsia"/>
                <w:highlight w:val="none"/>
              </w:rPr>
              <w:t xml:space="preserve"> 日</w:t>
            </w:r>
          </w:p>
        </w:tc>
      </w:tr>
      <w:tr w14:paraId="49DC6088">
        <w:trPr>
          <w:trHeight w:val="890" w:hRule="atLeast"/>
        </w:trPr>
        <w:tc>
          <w:tcPr>
            <w:tcW w:w="1175" w:type="dxa"/>
            <w:gridSpan w:val="2"/>
            <w:tcBorders>
              <w:top w:val="single" w:color="auto" w:sz="4" w:space="0"/>
            </w:tcBorders>
            <w:noWrap w:val="0"/>
            <w:vAlign w:val="center"/>
          </w:tcPr>
          <w:p w14:paraId="148B4046">
            <w:pPr>
              <w:rPr>
                <w:sz w:val="24"/>
                <w:highlight w:val="none"/>
              </w:rPr>
            </w:pPr>
            <w:r>
              <w:rPr>
                <w:rFonts w:hint="eastAsia"/>
                <w:sz w:val="24"/>
                <w:highlight w:val="none"/>
              </w:rPr>
              <w:t>检查小组评分</w:t>
            </w:r>
            <w:r>
              <w:rPr>
                <w:sz w:val="24"/>
                <w:highlight w:val="none"/>
              </w:rPr>
              <w:t>及</w:t>
            </w:r>
            <w:r>
              <w:rPr>
                <w:rFonts w:hint="eastAsia"/>
                <w:sz w:val="24"/>
                <w:highlight w:val="none"/>
              </w:rPr>
              <w:t>意见</w:t>
            </w:r>
          </w:p>
        </w:tc>
        <w:tc>
          <w:tcPr>
            <w:tcW w:w="8111" w:type="dxa"/>
            <w:gridSpan w:val="8"/>
            <w:tcBorders>
              <w:top w:val="single" w:color="auto" w:sz="4" w:space="0"/>
            </w:tcBorders>
            <w:noWrap w:val="0"/>
            <w:vAlign w:val="center"/>
          </w:tcPr>
          <w:p w14:paraId="33CC41DA">
            <w:pPr>
              <w:rPr>
                <w:highlight w:val="none"/>
              </w:rPr>
            </w:pPr>
            <w:r>
              <w:rPr>
                <w:rFonts w:hint="eastAsia"/>
                <w:highlight w:val="none"/>
              </w:rPr>
              <w:t>评分</w:t>
            </w:r>
            <w:r>
              <w:rPr>
                <w:highlight w:val="none"/>
              </w:rPr>
              <w:t>：</w:t>
            </w:r>
            <w:r>
              <w:rPr>
                <w:rFonts w:hint="eastAsia"/>
                <w:highlight w:val="none"/>
              </w:rPr>
              <w:t xml:space="preserve">    （总分</w:t>
            </w:r>
            <w:r>
              <w:rPr>
                <w:highlight w:val="none"/>
              </w:rPr>
              <w:t>：</w:t>
            </w:r>
            <w:r>
              <w:rPr>
                <w:rFonts w:hint="eastAsia"/>
                <w:highlight w:val="none"/>
              </w:rPr>
              <w:t xml:space="preserve">   ） </w:t>
            </w:r>
          </w:p>
          <w:p w14:paraId="56C07405">
            <w:pPr>
              <w:rPr>
                <w:highlight w:val="none"/>
              </w:rPr>
            </w:pPr>
          </w:p>
          <w:p w14:paraId="11703422">
            <w:pPr>
              <w:rPr>
                <w:highlight w:val="none"/>
              </w:rPr>
            </w:pPr>
          </w:p>
          <w:p w14:paraId="266D2AC3">
            <w:pPr>
              <w:rPr>
                <w:highlight w:val="none"/>
              </w:rPr>
            </w:pPr>
          </w:p>
          <w:p w14:paraId="21411D14">
            <w:pPr>
              <w:rPr>
                <w:highlight w:val="none"/>
              </w:rPr>
            </w:pPr>
          </w:p>
          <w:p w14:paraId="7D043601">
            <w:pPr>
              <w:jc w:val="center"/>
              <w:rPr>
                <w:b/>
                <w:bCs/>
                <w:sz w:val="30"/>
                <w:szCs w:val="30"/>
                <w:highlight w:val="none"/>
              </w:rPr>
            </w:pPr>
            <w:r>
              <w:rPr>
                <w:rFonts w:hint="eastAsia"/>
                <w:bCs/>
                <w:sz w:val="24"/>
                <w:highlight w:val="none"/>
              </w:rPr>
              <w:t xml:space="preserve">                     </w:t>
            </w:r>
            <w:r>
              <w:rPr>
                <w:bCs/>
                <w:sz w:val="24"/>
                <w:highlight w:val="none"/>
              </w:rPr>
              <w:t xml:space="preserve">         </w:t>
            </w:r>
            <w:r>
              <w:rPr>
                <w:rFonts w:hint="eastAsia"/>
                <w:bCs/>
                <w:sz w:val="24"/>
                <w:highlight w:val="none"/>
              </w:rPr>
              <w:t xml:space="preserve"> </w:t>
            </w:r>
            <w:r>
              <w:rPr>
                <w:bCs/>
                <w:sz w:val="24"/>
                <w:highlight w:val="none"/>
              </w:rPr>
              <w:t>组长</w:t>
            </w:r>
            <w:r>
              <w:rPr>
                <w:rFonts w:hint="eastAsia"/>
                <w:bCs/>
                <w:sz w:val="24"/>
                <w:highlight w:val="none"/>
              </w:rPr>
              <w:t xml:space="preserve">签字：      年 </w:t>
            </w:r>
            <w:r>
              <w:rPr>
                <w:bCs/>
                <w:sz w:val="24"/>
                <w:highlight w:val="none"/>
              </w:rPr>
              <w:t xml:space="preserve">  </w:t>
            </w:r>
            <w:r>
              <w:rPr>
                <w:rFonts w:hint="eastAsia"/>
                <w:bCs/>
                <w:sz w:val="24"/>
                <w:highlight w:val="none"/>
              </w:rPr>
              <w:t xml:space="preserve"> 月  </w:t>
            </w:r>
            <w:r>
              <w:rPr>
                <w:bCs/>
                <w:sz w:val="24"/>
                <w:highlight w:val="none"/>
              </w:rPr>
              <w:t xml:space="preserve">  </w:t>
            </w:r>
            <w:r>
              <w:rPr>
                <w:rFonts w:hint="eastAsia"/>
                <w:bCs/>
                <w:sz w:val="24"/>
                <w:highlight w:val="none"/>
              </w:rPr>
              <w:t>日</w:t>
            </w:r>
          </w:p>
        </w:tc>
      </w:tr>
    </w:tbl>
    <w:p w14:paraId="6C7357FB">
      <w:r>
        <w:rPr>
          <w:rFonts w:hint="eastAsia"/>
          <w:sz w:val="18"/>
          <w:szCs w:val="18"/>
          <w:highlight w:val="none"/>
        </w:rPr>
        <w:t>注：此表仅供参考，各学院应围绕毕设目标达成度，结合人才培养目标、专业认证要求等进行个性化完善</w:t>
      </w:r>
      <w:r>
        <w:rPr>
          <w:rFonts w:hint="eastAsia" w:ascii="宋体" w:hAnsi="宋体"/>
          <w:sz w:val="18"/>
          <w:szCs w:val="18"/>
          <w:highlight w:val="none"/>
        </w:rPr>
        <w:t>。</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g0MzBhMzRhZWIyYzU4MGZkMjEzZmFlNWE5NjNmY2EifQ=="/>
  </w:docVars>
  <w:rsids>
    <w:rsidRoot w:val="006F66A1"/>
    <w:rsid w:val="00125F55"/>
    <w:rsid w:val="00132898"/>
    <w:rsid w:val="00337447"/>
    <w:rsid w:val="00676C00"/>
    <w:rsid w:val="006F66A1"/>
    <w:rsid w:val="008A577B"/>
    <w:rsid w:val="00E008CB"/>
    <w:rsid w:val="04B32E78"/>
    <w:rsid w:val="086B314A"/>
    <w:rsid w:val="0AF76752"/>
    <w:rsid w:val="10AA65C4"/>
    <w:rsid w:val="122E42EC"/>
    <w:rsid w:val="12D81040"/>
    <w:rsid w:val="15E85732"/>
    <w:rsid w:val="1DE5432A"/>
    <w:rsid w:val="1FF8B454"/>
    <w:rsid w:val="244A5331"/>
    <w:rsid w:val="31E525BC"/>
    <w:rsid w:val="3534779B"/>
    <w:rsid w:val="389E3E7A"/>
    <w:rsid w:val="39AF453A"/>
    <w:rsid w:val="4A914477"/>
    <w:rsid w:val="50E32433"/>
    <w:rsid w:val="57E85A5F"/>
    <w:rsid w:val="5A69175A"/>
    <w:rsid w:val="5C4B361D"/>
    <w:rsid w:val="5EFD84B0"/>
    <w:rsid w:val="650308EA"/>
    <w:rsid w:val="65C872ED"/>
    <w:rsid w:val="66F64439"/>
    <w:rsid w:val="73185011"/>
    <w:rsid w:val="749924BB"/>
    <w:rsid w:val="75FE11A1"/>
    <w:rsid w:val="76AC573E"/>
    <w:rsid w:val="7953238D"/>
    <w:rsid w:val="7D6B2C8B"/>
    <w:rsid w:val="7EEF1D7D"/>
    <w:rsid w:val="7F2C3D62"/>
    <w:rsid w:val="7FF76809"/>
    <w:rsid w:val="BF5D7F35"/>
    <w:rsid w:val="DFC35B73"/>
    <w:rsid w:val="FC770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7">
    <w:name w:val="页眉 字符"/>
    <w:basedOn w:val="6"/>
    <w:link w:val="3"/>
    <w:qFormat/>
    <w:uiPriority w:val="99"/>
    <w:rPr>
      <w:rFonts w:ascii="Times New Roman" w:hAnsi="Times New Roman" w:eastAsia="宋体" w:cs="Times New Roman"/>
      <w:sz w:val="18"/>
      <w:szCs w:val="18"/>
    </w:rPr>
  </w:style>
  <w:style w:type="character" w:customStyle="1" w:styleId="8">
    <w:name w:val="页脚 字符"/>
    <w:basedOn w:val="6"/>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北京邮电大学</Company>
  <Pages>2</Pages>
  <Words>249</Words>
  <Characters>252</Characters>
  <Lines>2</Lines>
  <Paragraphs>1</Paragraphs>
  <TotalTime>1</TotalTime>
  <ScaleCrop>false</ScaleCrop>
  <LinksUpToDate>false</LinksUpToDate>
  <CharactersWithSpaces>354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2019-03-13T07:50:00Z</dcterms:created>
  <dc:creator>li</dc:creator>
  <cp:lastModifiedBy>张丽娜</cp:lastModifiedBy>
  <dcterms:modified xsi:type="dcterms:W3CDTF">2026-03-14T13:12:33Z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E0FECDCB665D60D075D9B4692A79967E_43</vt:lpwstr>
  </property>
  <property fmtid="{D5CDD505-2E9C-101B-9397-08002B2CF9AE}" pid="4" name="KSOTemplateDocerSaveRecord">
    <vt:lpwstr>eyJoZGlkIjoiMjg0MzBhMzRhZWIyYzU4MGZkMjEzZmFlNWE5NjNmY2EiLCJ1c2VySWQiOiIxNDg1NjQ2MjkxIn0=</vt:lpwstr>
  </property>
</Properties>
</file>