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Appendix — Pipeline Findings Summary Tables</w:t>
      </w:r>
    </w:p>
    <w:p>
      <w:r>
        <w:rPr>
          <w:sz w:val="18"/>
        </w:rPr>
        <w:t>Tables A1–A6 summarise the key findings from each stage of the NLP pipeline, their analytical significance, complementary evidence from the survey and audit, and supporting literature. Tables follow the pipeline data flow order.</w:t>
      </w:r>
    </w:p>
    <w:p/>
    <w:p>
      <w:pPr>
        <w:jc w:val="left"/>
      </w:pPr>
      <w:r>
        <w:rPr>
          <w:b/>
          <w:color w:val="1F3A5F"/>
          <w:sz w:val="22"/>
        </w:rPr>
        <w:t>Table A1 — Corpus Composition and Preprocessing</w:t>
      </w:r>
    </w:p>
    <w:p>
      <w:pPr>
        <w:spacing w:after="80"/>
        <w:jc w:val="left"/>
      </w:pPr>
      <w:r>
        <w:rPr>
          <w:i/>
          <w:color w:val="666666"/>
          <w:sz w:val="17"/>
        </w:rPr>
        <w:t>Pipeline Stage 1: Data collection → preprocessing → language mapping</w:t>
      </w:r>
    </w:p>
    <w:tbl>
      <w:tblPr>
        <w:tblStyle w:val="TableGrid"/>
        <w:tblW w:type="auto" w:w="0"/>
        <w:jc w:val="left"/>
        <w:tblLook w:firstColumn="1" w:firstRow="1" w:lastColumn="0" w:lastRow="0" w:noHBand="0" w:noVBand="1" w:val="04A0"/>
      </w:tblPr>
      <w:tblGrid>
        <w:gridCol w:w="3784"/>
        <w:gridCol w:w="3784"/>
        <w:gridCol w:w="3784"/>
        <w:gridCol w:w="3784"/>
      </w:tblGrid>
      <w:tr>
        <w:tc>
          <w:tcPr>
            <w:tcW w:type="dxa" w:w="34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Finding</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51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607 articles retained (PT: 313, 52%; ES: 200, 33%; EN: 94, 15%) across 44 flood events in 17 countries.</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Working corpus is clean and deduplicated. Portuguese dominates due to Brazil's flood frequency; English is the smallest group despite covering North American events.</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84% structural missingness at collection stage — 226/269 queried events returned zero CDX results. The 607 articles are a heavily filtered subset of potential flood coverage.</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Blomeier et al. (2025)</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North America: 76 articles (12.5%). South America: 531 articles (87.5%).</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Regional imbalance shapes all cross-regional comparisons. The regional variable is confounded with language and source type throughout the analysis.</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North America achieves 22.9% crawl coverage vs 14.5% for Latin America at collection stage. The NLP corpus inverts this because of event frequency, not coverage quality.</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Barocas et al. (2023)</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14 post-filter rules applied after Stage 09 in the data collection pipeline.</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Filter rules encode assumptions about valid flood articles, conditioning corpus composition before any NLP scoring begins.</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feedback loop — filtering shapes what the model treats as signal. Larger-displacement events are somewhat more likely to be covered (mild signal, not statistically significant).</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Barrio Andrés (2021)</w:t>
            </w:r>
          </w:p>
        </w:tc>
      </w:tr>
    </w:tbl>
    <w:p/>
    <w:p>
      <w:pPr>
        <w:jc w:val="left"/>
      </w:pPr>
      <w:r>
        <w:rPr>
          <w:b/>
          <w:color w:val="1F3A5F"/>
          <w:sz w:val="22"/>
        </w:rPr>
        <w:t>Table A2 — Actionability Distribution</w:t>
      </w:r>
    </w:p>
    <w:p>
      <w:pPr>
        <w:spacing w:after="80"/>
        <w:jc w:val="left"/>
      </w:pPr>
      <w:r>
        <w:rPr>
          <w:i/>
          <w:color w:val="666666"/>
          <w:sz w:val="17"/>
        </w:rPr>
        <w:t>Pipeline Stage 2: Sentence-level scoring → article-level aggregation</w:t>
      </w:r>
    </w:p>
    <w:tbl>
      <w:tblPr>
        <w:tblStyle w:val="TableGrid"/>
        <w:tblW w:type="auto" w:w="0"/>
        <w:jc w:val="left"/>
        <w:tblLook w:firstColumn="1" w:firstRow="1" w:lastColumn="0" w:lastRow="0" w:noHBand="0" w:noVBand="1" w:val="04A0"/>
      </w:tblPr>
      <w:tblGrid>
        <w:gridCol w:w="3784"/>
        <w:gridCol w:w="3784"/>
        <w:gridCol w:w="3784"/>
        <w:gridCol w:w="3784"/>
      </w:tblGrid>
      <w:tr>
        <w:tc>
          <w:tcPr>
            <w:tcW w:type="dxa" w:w="34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Finding</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51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506/607 articles (83.4%) score zero actionability across all sentences.</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Near-universal absence of advisory content. The distribution is bimodal: articles either contain no actionable sentences or a detectable minority.</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Article A (high actionability) rated highest for clarity (4.31) and coping confidence (4.08) in isolated evaluation — confirms the pipeline's top scorer aligns with human quality judgement.</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Lindell &amp; Perry (2012)</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Corpus mean: 1.99%. Non-zero median: 10.0%. Maximum: 40%.</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Even including the non-zero tail, average advisory content is negligible. The mean is partly an artefact of how dominant the advice feature is when present.</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advice feature acts as a near-binary switch at scale. Weights calibrated on a small sample underestimated advice dominance. Pipeline output behaves as a discrete index, not a continuous measure.</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Mostafiz et al. (2022)</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Sentence-level probability distribution: mass near 0.00–0.15, sparse middle (0.15–0.70), small cluster near 1.0.</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Structural flaw in feature weights: advice feature compresses most sentences to near-zero and pushes a small subset near one. Score is bimodal not Gaussian.</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two methodological caveats — (1) actionability % is sensitive to article length; (2) text segmentation quality in scraped data skews sentence counts. Recalibration on a larger sample required.</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Zguir et al. (2025)</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ranking paradox: medium-actionability article (Article B) preferred as most useful (mean rank 1.64, 95% CI: 1.53–1.75). High-actionability Article A not preferred despite highest clarity score.</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Maximising the pipeline's actionability score does not maximise perceived usefulness. Readers prefer narrative context combined with guidance over pure directive density.</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NLP pipeline: the non-zero median (10%) sits exactly in the preferred utility range from the survey. Pipeline and survey converge on a threshold, not a maximum.</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Palen &amp; Hughes (2018)</w:t>
            </w:r>
          </w:p>
        </w:tc>
      </w:tr>
    </w:tbl>
    <w:p/>
    <w:p>
      <w:pPr>
        <w:jc w:val="left"/>
      </w:pPr>
      <w:r>
        <w:rPr>
          <w:b/>
          <w:color w:val="1F3A5F"/>
          <w:sz w:val="22"/>
        </w:rPr>
        <w:t>Table A3 — PADM Component Presence by Language</w:t>
      </w:r>
    </w:p>
    <w:p>
      <w:pPr>
        <w:spacing w:after="80"/>
        <w:jc w:val="left"/>
      </w:pPr>
      <w:r>
        <w:rPr>
          <w:i/>
          <w:color w:val="666666"/>
          <w:sz w:val="17"/>
        </w:rPr>
        <w:t>Pipeline Stage 2: Feature extraction per sentence → article-level aggregation by language group</w:t>
      </w:r>
    </w:p>
    <w:tbl>
      <w:tblPr>
        <w:tblStyle w:val="TableGrid"/>
        <w:tblW w:type="auto" w:w="0"/>
        <w:jc w:val="left"/>
        <w:tblLook w:firstColumn="1" w:firstRow="1" w:lastColumn="0" w:lastRow="0" w:noHBand="0" w:noVBand="1" w:val="04A0"/>
      </w:tblPr>
      <w:tblGrid>
        <w:gridCol w:w="1892"/>
        <w:gridCol w:w="1892"/>
        <w:gridCol w:w="1892"/>
        <w:gridCol w:w="1892"/>
        <w:gridCol w:w="1892"/>
        <w:gridCol w:w="1892"/>
        <w:gridCol w:w="1892"/>
        <w:gridCol w:w="1892"/>
      </w:tblGrid>
      <w:tr>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Component</w:t>
            </w:r>
          </w:p>
        </w:tc>
        <w:tc>
          <w:tcPr>
            <w:tcW w:type="dxa" w:w="567"/>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EN</w:t>
            </w:r>
          </w:p>
        </w:tc>
        <w:tc>
          <w:tcPr>
            <w:tcW w:type="dxa" w:w="567"/>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ES</w:t>
            </w:r>
          </w:p>
        </w:tc>
        <w:tc>
          <w:tcPr>
            <w:tcW w:type="dxa" w:w="567"/>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PT</w:t>
            </w:r>
          </w:p>
        </w:tc>
        <w:tc>
          <w:tcPr>
            <w:tcW w:type="dxa" w:w="1587"/>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χ² test</w:t>
            </w:r>
          </w:p>
        </w:tc>
        <w:tc>
          <w:tcPr>
            <w:tcW w:type="dxa" w:w="283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417"/>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Spatial anchors</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68%</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88%</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92%</w:t>
            </w:r>
          </w:p>
        </w:tc>
        <w:tc>
          <w:tcPr>
            <w:tcW w:type="dxa" w:w="158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χ²=36.19, p&lt;.001</w:t>
            </w:r>
          </w:p>
        </w:tc>
        <w:tc>
          <w:tcPr>
            <w:tcW w:type="dxa" w:w="283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Near-universal in ES/PT. Satisfies PADM's named-location criterion but not the directive criterion.</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Cluster 1 (actionable, 6%) has highest spatial density (0.599) yet most articles with spatial anchors score zero — location alone is insufficient.</w:t>
            </w:r>
          </w:p>
        </w:tc>
        <w:tc>
          <w:tcPr>
            <w:tcW w:type="dxa" w:w="141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Lindell &amp; Perry (2012)</w:t>
            </w:r>
          </w:p>
        </w:tc>
      </w:tr>
      <w:tr>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Short-term urgency</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51%</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56%</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56%</w:t>
            </w:r>
          </w:p>
        </w:tc>
        <w:tc>
          <w:tcPr>
            <w:tcW w:type="dxa" w:w="158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χ²=0.65, ns</w:t>
            </w:r>
          </w:p>
        </w:tc>
        <w:tc>
          <w:tcPr>
            <w:tcW w:type="dxa" w:w="283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Uniformly distributed across all languages. No cross-linguistic difference.</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Urgency co-occurs with spatial in Cluster 0 (90% of corpus, mean 0.7%) without producing actionability — urgency + location are necessary but not sufficient.</w:t>
            </w:r>
          </w:p>
        </w:tc>
        <w:tc>
          <w:tcPr>
            <w:tcW w:type="dxa" w:w="141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Zade et al. (2018)</w:t>
            </w:r>
          </w:p>
        </w:tc>
      </w:tr>
      <w:tr>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Imperative signals (keyword + POS)</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34%</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10%</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16%</w:t>
            </w:r>
          </w:p>
        </w:tc>
        <w:tc>
          <w:tcPr>
            <w:tcW w:type="dxa" w:w="158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χ²=27.67, p&lt;.001</w:t>
            </w:r>
          </w:p>
        </w:tc>
        <w:tc>
          <w:tcPr>
            <w:tcW w:type="dxa" w:w="283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English leads on imperative detection. Spanish and Portuguese lower because conjugated imperative forms differ from infinitive-based lexicons.</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lexicon parity distorted English baseline (KS=0.207). Language-specific scoring logic required; English uses distributed modals, ES/PT use verbal inflections.</w:t>
            </w:r>
          </w:p>
        </w:tc>
        <w:tc>
          <w:tcPr>
            <w:tcW w:type="dxa" w:w="141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Klein (2024)</w:t>
            </w:r>
          </w:p>
        </w:tc>
      </w:tr>
      <w:tr>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Advice-framing verbs</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7%</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13%</w:t>
            </w:r>
          </w:p>
        </w:tc>
        <w:tc>
          <w:tcPr>
            <w:tcW w:type="dxa" w:w="56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5%</w:t>
            </w:r>
          </w:p>
        </w:tc>
        <w:tc>
          <w:tcPr>
            <w:tcW w:type="dxa" w:w="158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χ²=9.34, p=.009</w:t>
            </w:r>
          </w:p>
        </w:tc>
        <w:tc>
          <w:tcPr>
            <w:tcW w:type="dxa" w:w="283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Rarest PADM component across all languages. Most directly associated with protective action recommendations.</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Article A (high advice-framing) rated clearest in isolation but not preferred for utility. Advice-framing correlates with clarity, not utility preference.</w:t>
            </w:r>
          </w:p>
        </w:tc>
        <w:tc>
          <w:tcPr>
            <w:tcW w:type="dxa" w:w="1417"/>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Jurafsky (2014)</w:t>
            </w:r>
          </w:p>
        </w:tc>
      </w:tr>
      <w:tr>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Cross-linguistic pattern</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Strong spatial + urgency; near-absent advice</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Strong spatial + urgency; slightly higher advice</w:t>
            </w:r>
          </w:p>
        </w:tc>
        <w:tc>
          <w:tcPr>
            <w:tcW w:type="dxa" w:w="56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Highest spatial; lowest advice</w:t>
            </w:r>
          </w:p>
        </w:tc>
        <w:tc>
          <w:tcPr>
            <w:tcW w:type="dxa" w:w="158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Genre convergence</w:t>
            </w:r>
          </w:p>
        </w:tc>
        <w:tc>
          <w:tcPr>
            <w:tcW w:type="dxa" w:w="283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All three languages share the same structural deficit. The failure is a genre-level property of flood journalism, not a language-specific artefact.</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lexicon synchronisation for ES/PT (KS=0.104) still could not produce parity with English — distributional gaps reflect underlying syntactic architecture.</w:t>
            </w:r>
          </w:p>
        </w:tc>
        <w:tc>
          <w:tcPr>
            <w:tcW w:type="dxa" w:w="1417"/>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Blomeier et al. (2025)</w:t>
            </w:r>
          </w:p>
        </w:tc>
      </w:tr>
    </w:tbl>
    <w:p/>
    <w:p>
      <w:pPr>
        <w:jc w:val="left"/>
      </w:pPr>
      <w:r>
        <w:rPr>
          <w:b/>
          <w:color w:val="1F3A5F"/>
          <w:sz w:val="22"/>
        </w:rPr>
        <w:t>Table A4 — Source Authority and Regional Analysis</w:t>
      </w:r>
    </w:p>
    <w:p>
      <w:pPr>
        <w:spacing w:after="80"/>
        <w:jc w:val="left"/>
      </w:pPr>
      <w:r>
        <w:rPr>
          <w:i/>
          <w:color w:val="666666"/>
          <w:sz w:val="17"/>
        </w:rPr>
        <w:t>Pipeline Stages 3 &amp; 5: Source authority classification → global region assignment</w:t>
      </w:r>
    </w:p>
    <w:tbl>
      <w:tblPr>
        <w:tblStyle w:val="TableGrid"/>
        <w:tblW w:type="auto" w:w="0"/>
        <w:jc w:val="left"/>
        <w:tblLook w:firstColumn="1" w:firstRow="1" w:lastColumn="0" w:lastRow="0" w:noHBand="0" w:noVBand="1" w:val="04A0"/>
      </w:tblPr>
      <w:tblGrid>
        <w:gridCol w:w="3784"/>
        <w:gridCol w:w="3784"/>
        <w:gridCol w:w="3784"/>
        <w:gridCol w:w="3784"/>
      </w:tblGrid>
      <w:tr>
        <w:tc>
          <w:tcPr>
            <w:tcW w:type="dxa" w:w="34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Finding</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51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National news mean: 3.61% (n=104); all other outlets: 1.65% (n=503). Mann-Whitney U=30362, p&lt;.001.</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Source type is the strongest single predictor of actionability. Institutional national journalism consistently produces more advisory content regardless of language or region.</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high-actionability Article A corresponds to an institutional source context, confirming alignment between source type and human clarity rating.</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Semetko &amp; Valkenburg (2000)</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Source type means: national 3.61% &gt; local 2.49% &gt; regional 2.04% &gt; unknown 1.44% &gt; government agency 0.95% &gt; NGO 0.84% &gt; radio 0.00%.</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Source scope (national &gt; regional &gt; local) tracks actionability. Government agencies and NGOs score below average despite their advisory mandate.</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domain lists and keyword thresholds in data collection favour nationally-scoped institutional media — the source type gradient partly reflects corpus construction choices.</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Barocas et al. (2023)</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North America mean: 0.82% (n=76); South America mean: 2.15% (n=531). Mann-Whitney U, p=.147 (not significant).</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The regional gap is not statistically significant when tested directly. H₁ is not supported at the regional level.</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North America achieves 22.9% crawl coverage but only 12.5% of the NLP corpus — the North American sample is underpowered for regional comparisons.</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He et al. (2024)</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Regional gap explained by corpus composition: Mexican/Colombian national outlets drive the South American actionability signal; US/Canadian corpus dominated by wire services.</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Actionability is a property of institutional national journalism, independent of geography or emergency infrastructure level. H₁ is reframed rather than confirmed or rejected.</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post-filter rules encoding assumptions favouring nationally-scoped media directly shape which source types are over-represented by region.</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Quarantelli (2008)</w:t>
            </w:r>
          </w:p>
        </w:tc>
      </w:tr>
    </w:tbl>
    <w:p/>
    <w:p>
      <w:pPr>
        <w:jc w:val="left"/>
      </w:pPr>
      <w:r>
        <w:rPr>
          <w:b/>
          <w:color w:val="1F3A5F"/>
          <w:sz w:val="22"/>
        </w:rPr>
        <w:t>Table A5 — Frame Classification and Source Type Mediation</w:t>
      </w:r>
    </w:p>
    <w:p>
      <w:pPr>
        <w:spacing w:after="80"/>
        <w:jc w:val="left"/>
      </w:pPr>
      <w:r>
        <w:rPr>
          <w:i/>
          <w:color w:val="666666"/>
          <w:sz w:val="17"/>
        </w:rPr>
        <w:t>Pipeline Stage 4: Frame classification → cross-tabulation with source authority</w:t>
      </w:r>
    </w:p>
    <w:tbl>
      <w:tblPr>
        <w:tblStyle w:val="TableGrid"/>
        <w:tblW w:type="auto" w:w="0"/>
        <w:jc w:val="left"/>
        <w:tblLook w:firstColumn="1" w:firstRow="1" w:lastColumn="0" w:lastRow="0" w:noHBand="0" w:noVBand="1" w:val="04A0"/>
      </w:tblPr>
      <w:tblGrid>
        <w:gridCol w:w="3784"/>
        <w:gridCol w:w="3784"/>
        <w:gridCol w:w="3784"/>
        <w:gridCol w:w="3784"/>
      </w:tblGrid>
      <w:tr>
        <w:tc>
          <w:tcPr>
            <w:tcW w:type="dxa" w:w="34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Finding</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51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Frame distribution: impact 268 (44%), response 169 (28%), accountability 144 (24%), recovery 26 (4%). Kruskal-Wallis H=17.84, p&lt;.001.</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Impact framing dominates. Overall frame effect is statistically significant but small (η²=0.025). PADM-relevant response framing is a minority at 28%.</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Frame keyword lexicons were not balanced across languages in the audit — classification may carry the same lexicon sensitivity bias as actionability scoring.</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Entman (1993)</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Response framing does not outperform impact framing: 1.97% vs 1.25% (pairwise ns).</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Key null result for PADM theory. Response-framed articles describe evacuation orders and emergency resources as events to third parties, not as reader directives.</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Cluster 0 (90% of corpus) contains many response-framed articles that are linguistically complete but behaviourally inert. Survey Article B (preferred for utility) was response-framed.</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Lindell &amp; Perry (2012)</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Accountability × national news: 6.81% vs accountability × other outlets: 2.30%. Mann-Whitney U=2768, p&lt;.001, |r|=0.331.</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The accountability-actionability correlation is entirely mediated by source type. Accountability in non-national outlets scores no higher than impact or response.</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participants' utility preferences were independent of framing — their preference for Article B further challenges frame as an independent predictor.</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Semetko &amp; Valkenburg (2000)</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Impact, response, recovery: national vs other differences all not significant (all p&gt;.40).</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For three of four frames, source type makes no difference. Only accountability shows the national news premium — frame alone has negligible predictive power once source type is controlled.</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Spanish national accountability journalism (n=37) drives this finding. English and Portuguese national outlets contribute near-zero accountability actionability.</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Blomeier et al. (2025)</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Spanish national accountability: mean 7.34% (n=37). English national: ~0%. Portuguese national (n=3): ~0%.</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The corpus-level frame finding reduces to one language group and one source type. Not a generalisable framing effect.</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structural missingness means the English national news accountability sample is effectively zero — cross-linguistic comparison on this finding is not possible from this corpus.</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Klein (2024)</w:t>
            </w:r>
          </w:p>
        </w:tc>
      </w:tr>
    </w:tbl>
    <w:p/>
    <w:p>
      <w:pPr>
        <w:jc w:val="left"/>
      </w:pPr>
      <w:r>
        <w:rPr>
          <w:b/>
          <w:color w:val="1F3A5F"/>
          <w:sz w:val="22"/>
        </w:rPr>
        <w:t>Table A6 — Clustering Results</w:t>
      </w:r>
    </w:p>
    <w:p>
      <w:pPr>
        <w:spacing w:after="80"/>
        <w:jc w:val="left"/>
      </w:pPr>
      <w:r>
        <w:rPr>
          <w:i/>
          <w:color w:val="666666"/>
          <w:sz w:val="17"/>
        </w:rPr>
        <w:t>Pipeline Stage 5: Z-score normalisation → K-Means (k=3) on structural features → post-hoc actionability observation</w:t>
      </w:r>
    </w:p>
    <w:tbl>
      <w:tblPr>
        <w:tblStyle w:val="TableGrid"/>
        <w:tblW w:type="auto" w:w="0"/>
        <w:jc w:val="left"/>
        <w:tblLook w:firstColumn="1" w:firstRow="1" w:lastColumn="0" w:lastRow="0" w:noHBand="0" w:noVBand="1" w:val="04A0"/>
      </w:tblPr>
      <w:tblGrid>
        <w:gridCol w:w="3784"/>
        <w:gridCol w:w="3784"/>
        <w:gridCol w:w="3784"/>
        <w:gridCol w:w="3784"/>
      </w:tblGrid>
      <w:tr>
        <w:tc>
          <w:tcPr>
            <w:tcW w:type="dxa" w:w="34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Finding</w:t>
            </w:r>
          </w:p>
        </w:tc>
        <w:tc>
          <w:tcPr>
            <w:tcW w:type="dxa" w:w="3685"/>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Analytical significance</w:t>
            </w:r>
          </w:p>
        </w:tc>
        <w:tc>
          <w:tcPr>
            <w:tcW w:type="dxa" w:w="5102"/>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Complementary evidence</w:t>
            </w:r>
          </w:p>
        </w:tc>
        <w:tc>
          <w:tcPr>
            <w:tcW w:type="dxa" w:w="1701"/>
            <w:shd w:val="clear" w:color="auto" w:fill="1F3A5F"/>
            <w:tcBorders>
              <w:top w:val="single" w:sz="4" w:space="0" w:color="9EAEC0"/>
              <w:left w:val="single" w:sz="4" w:space="0" w:color="9EAEC0"/>
              <w:bottom w:val="single" w:sz="4" w:space="0" w:color="9EAEC0"/>
              <w:right w:val="single" w:sz="4" w:space="0" w:color="9EAEC0"/>
            </w:tcBorders>
            <w:vAlign w:val="center"/>
          </w:tcPr>
          <w:p>
            <w:pPr>
              <w:spacing w:before="60" w:after="60"/>
              <w:jc w:val="center"/>
            </w:pPr>
            <w:r>
              <w:rPr>
                <w:b/>
                <w:color w:val="FFFFFF"/>
                <w:sz w:val="18"/>
              </w:rPr>
              <w:t>Source</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K=3 optimal by silhouette score (0.499 vs k=4: 0.286, k=5: 0.208). Structural features only used; actionability excluded from clustering input.</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Three distinct article profiles emerge without actionability as input — structure is real, not circular. Kruskal-Wallis H=275.5, p&lt;.001, η²=0.453 — largest effect size in the entire analysis.</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All three cluster pairs differ significantly (p&lt;.001 pairwise). η²=0.453 is large — cluster membership explains 45% of variance in actionability scores.</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Sit et al. (2020)</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Cluster 0 (Descriptive Baseline): n=549, 90% of corpus, mean actionability 0.7%. Near-zero on all five PADM structural features.</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Nine in ten articles belong to a cluster with no advisory features. Flood journalism's default state is factually complete and behaviourally inert.</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Article C (low actionability, Cluster 0 profile) scored lowest on clarity (3.12) and coping confidence (3.04). Pipeline classification aligns with human evaluation in isolation.</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Zade et al. (2018)</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Cluster 1 (Actionable Advisory): n=39, 6% of corpus, mean actionability 18.0%. Defined by advice-framing (0.185) and spatial density (0.599).</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Only cluster approaching PADM compliance. Driven by advice-framing verbs — not imperatives or urgency, both of which are present in other clusters without comparable actionability.</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Survey ranking paradox: even Cluster 1 articles (~18%) may not be the most useful — survey participants preferred medium-actionability (~10%). Cluster 1 exceeds the utility threshold.</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Lindell &amp; Perry (2012)</w:t>
            </w:r>
          </w:p>
        </w:tc>
      </w:tr>
      <w:tr>
        <w:tc>
          <w:tcPr>
            <w:tcW w:type="dxa" w:w="34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Cluster 2 (Recovery Discourse): n=19, 3% of corpus, mean actionability 5.3%. Defined by long-term recovery keywords (0.456).</w:t>
            </w:r>
          </w:p>
        </w:tc>
        <w:tc>
          <w:tcPr>
            <w:tcW w:type="dxa" w:w="3685"/>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Recovery-oriented articles form a distinct profile but score well below Cluster 1. Forward-oriented institutional language does not satisfy PADM's immediate protective action criterion.</w:t>
            </w:r>
          </w:p>
        </w:tc>
        <w:tc>
          <w:tcPr>
            <w:tcW w:type="dxa" w:w="5102"/>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Recovery is the smallest frame category (n=26, 4%) and the cluster is also the smallest. Findings should be interpreted cautiously due to low n.</w:t>
            </w:r>
          </w:p>
        </w:tc>
        <w:tc>
          <w:tcPr>
            <w:tcW w:type="dxa" w:w="1701"/>
            <w:shd w:val="clear" w:color="auto" w:fill="FFFFFF"/>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Mostafiz et al. (2022)</w:t>
            </w:r>
          </w:p>
        </w:tc>
      </w:tr>
      <w:tr>
        <w:tc>
          <w:tcPr>
            <w:tcW w:type="dxa" w:w="34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Advice-framing defines Cluster 1 but is absent in 87–95% of articles across all three languages.</w:t>
            </w:r>
          </w:p>
        </w:tc>
        <w:tc>
          <w:tcPr>
            <w:tcW w:type="dxa" w:w="3685"/>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The sole PADM-compliant article type is rare, linguistically specific, and concentrated in Spanish national news. It is not a genre-level property but an outlier driven by institutional source type.</w:t>
            </w:r>
          </w:p>
        </w:tc>
        <w:tc>
          <w:tcPr>
            <w:tcW w:type="dxa" w:w="5102"/>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Audit: advice detection is harder in English (modal-based directives) than in Spanish/PT (inflection-based). Cluster 1's Spanish dominance may partly reflect detection sensitivity differences.</w:t>
            </w:r>
          </w:p>
        </w:tc>
        <w:tc>
          <w:tcPr>
            <w:tcW w:type="dxa" w:w="1701"/>
            <w:shd w:val="clear" w:color="auto" w:fill="EEF3F9"/>
            <w:tcBorders>
              <w:top w:val="single" w:sz="4" w:space="0" w:color="9EAEC0"/>
              <w:left w:val="single" w:sz="4" w:space="0" w:color="9EAEC0"/>
              <w:bottom w:val="single" w:sz="4" w:space="0" w:color="9EAEC0"/>
              <w:right w:val="single" w:sz="4" w:space="0" w:color="9EAEC0"/>
            </w:tcBorders>
            <w:vAlign w:val="top"/>
          </w:tcPr>
          <w:p>
            <w:pPr>
              <w:spacing w:before="60" w:after="60"/>
              <w:jc w:val="left"/>
            </w:pPr>
            <w:r>
              <w:rPr>
                <w:sz w:val="17"/>
              </w:rPr>
              <w:t>Klein (2024)</w:t>
            </w:r>
          </w:p>
        </w:tc>
      </w:tr>
    </w:tbl>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