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980B9"/>
          <w:sz w:val="36"/>
        </w:rPr>
        <w:t>BÁO CÁO THỐNG KÊ CHUẨN HÓA DATASET SONG NGỮ THỜI TRANG (FASHION KNOWLEDGE)</w:t>
        <w:br/>
      </w:r>
    </w:p>
    <w:p>
      <w:pPr>
        <w:jc w:val="center"/>
      </w:pPr>
      <w:r>
        <w:rPr>
          <w:i/>
          <w:color w:val="7F8C8D"/>
          <w:sz w:val="24"/>
        </w:rPr>
        <w:t>Dành cho báo cáo nhóm và đánh giá chất lượng mô hình</w:t>
      </w:r>
    </w:p>
    <w:p>
      <w:pPr>
        <w:spacing w:before="200" w:after="200"/>
        <w:ind w:left="360"/>
      </w:pPr>
      <w:r>
        <w:rPr>
          <w:i/>
          <w:color w:val="34495E"/>
        </w:rPr>
        <w:t>[GHI CHÚ] Báo cáo này trình bày kết quả của quá trình lọc sạch (Data Pruning) và chuẩn hóa dữ liệu song ngữ Anh - Việt (40k dòng) dùng để tinh chỉnh (fine-tune) mô hình ngôn ngữ trong dự án Fashion Match.</w:t>
      </w:r>
    </w:p>
    <w:p>
      <w:pPr>
        <w:pStyle w:val="Heading1"/>
        <w:spacing w:before="240" w:after="120"/>
      </w:pPr>
      <w:r>
        <w:rPr>
          <w:rFonts w:ascii="Arial" w:hAnsi="Arial"/>
          <w:color w:val="2980B9"/>
        </w:rPr>
        <w:t>I. Tóm tắt Số liệu chuẩn hóa (Data Statistics Summary)</w:t>
      </w:r>
    </w:p>
    <w:p>
      <w:pPr>
        <w:spacing w:after="160"/>
      </w:pPr>
      <w:r>
        <w:t>Dữ liệu thô (Raw) ban đầu gồm hơn 40k dòng đã được chạy qua bộ lọc tự động nhằm loại bỏ nhiễu hại cho quá trình huấn luyện LLM. Dưới đây là bảng số liệu chi tiết:</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2980B9"/>
          </w:tcPr>
          <w:p>
            <w:pPr>
              <w:spacing w:after="40" w:before="40"/>
            </w:pPr>
            <w:r>
              <w:rPr>
                <w:rFonts w:ascii="Arial" w:hAnsi="Arial"/>
                <w:b/>
                <w:color w:val="FFFFFF"/>
                <w:sz w:val="20"/>
              </w:rPr>
              <w:t>Chỉ số thống kê</w:t>
            </w:r>
          </w:p>
        </w:tc>
        <w:tc>
          <w:tcPr>
            <w:tcW w:type="dxa" w:w="2340"/>
            <w:tcMar>
              <w:top w:w="80" w:type="dxa"/>
              <w:bottom w:w="80" w:type="dxa"/>
              <w:left w:w="100" w:type="dxa"/>
              <w:right w:w="100" w:type="dxa"/>
            </w:tcMar>
            <w:shd w:fill="2980B9"/>
          </w:tcPr>
          <w:p>
            <w:pPr>
              <w:spacing w:after="40" w:before="40"/>
            </w:pPr>
            <w:r>
              <w:rPr>
                <w:rFonts w:ascii="Arial" w:hAnsi="Arial"/>
                <w:b/>
                <w:color w:val="FFFFFF"/>
                <w:sz w:val="20"/>
              </w:rPr>
              <w:t>Số lượng dòng</w:t>
            </w:r>
          </w:p>
        </w:tc>
        <w:tc>
          <w:tcPr>
            <w:tcW w:type="dxa" w:w="2340"/>
            <w:tcMar>
              <w:top w:w="80" w:type="dxa"/>
              <w:bottom w:w="80" w:type="dxa"/>
              <w:left w:w="100" w:type="dxa"/>
              <w:right w:w="100" w:type="dxa"/>
            </w:tcMar>
            <w:shd w:fill="2980B9"/>
          </w:tcPr>
          <w:p>
            <w:pPr>
              <w:spacing w:after="40" w:before="40"/>
            </w:pPr>
            <w:r>
              <w:rPr>
                <w:rFonts w:ascii="Arial" w:hAnsi="Arial"/>
                <w:b/>
                <w:color w:val="FFFFFF"/>
                <w:sz w:val="20"/>
              </w:rPr>
              <w:t>Tỷ lệ (%)</w:t>
            </w:r>
          </w:p>
        </w:tc>
        <w:tc>
          <w:tcPr>
            <w:tcW w:type="dxa" w:w="2340"/>
            <w:tcMar>
              <w:top w:w="80" w:type="dxa"/>
              <w:bottom w:w="80" w:type="dxa"/>
              <w:left w:w="100" w:type="dxa"/>
              <w:right w:w="100" w:type="dxa"/>
            </w:tcMar>
            <w:shd w:fill="2980B9"/>
          </w:tcPr>
          <w:p>
            <w:pPr>
              <w:spacing w:after="40" w:before="40"/>
            </w:pPr>
            <w:r>
              <w:rPr>
                <w:rFonts w:ascii="Arial" w:hAnsi="Arial"/>
                <w:b/>
                <w:color w:val="FFFFFF"/>
                <w:sz w:val="20"/>
              </w:rPr>
              <w:t>Trạng thái / Ý nghĩa</w:t>
            </w:r>
          </w:p>
        </w:tc>
      </w:tr>
      <w:tr>
        <w:tc>
          <w:tcPr>
            <w:tcW w:type="dxa" w:w="2340"/>
            <w:tcMar>
              <w:top w:w="80" w:type="dxa"/>
              <w:bottom w:w="80" w:type="dxa"/>
              <w:left w:w="100" w:type="dxa"/>
              <w:right w:w="100" w:type="dxa"/>
            </w:tcMar>
          </w:tcPr>
          <w:p>
            <w:pPr>
              <w:spacing w:after="40" w:before="40"/>
            </w:pPr>
            <w:r>
              <w:rPr>
                <w:rFonts w:ascii="Arial" w:hAnsi="Arial"/>
                <w:sz w:val="20"/>
              </w:rPr>
              <w:t>Tổng số lượng dữ liệu Raw</w:t>
            </w:r>
          </w:p>
        </w:tc>
        <w:tc>
          <w:tcPr>
            <w:tcW w:type="dxa" w:w="2340"/>
            <w:tcMar>
              <w:top w:w="80" w:type="dxa"/>
              <w:bottom w:w="80" w:type="dxa"/>
              <w:left w:w="100" w:type="dxa"/>
              <w:right w:w="100" w:type="dxa"/>
            </w:tcMar>
          </w:tcPr>
          <w:p>
            <w:pPr>
              <w:spacing w:after="40" w:before="40"/>
            </w:pPr>
            <w:r>
              <w:rPr>
                <w:rFonts w:ascii="Arial" w:hAnsi="Arial"/>
                <w:sz w:val="20"/>
              </w:rPr>
              <w:t>40,305</w:t>
            </w:r>
          </w:p>
        </w:tc>
        <w:tc>
          <w:tcPr>
            <w:tcW w:type="dxa" w:w="2340"/>
            <w:tcMar>
              <w:top w:w="80" w:type="dxa"/>
              <w:bottom w:w="80" w:type="dxa"/>
              <w:left w:w="100" w:type="dxa"/>
              <w:right w:w="100" w:type="dxa"/>
            </w:tcMar>
          </w:tcPr>
          <w:p>
            <w:pPr>
              <w:spacing w:after="40" w:before="40"/>
            </w:pPr>
            <w:r>
              <w:rPr>
                <w:rFonts w:ascii="Arial" w:hAnsi="Arial"/>
                <w:sz w:val="20"/>
              </w:rPr>
              <w:t>100.00%</w:t>
            </w:r>
          </w:p>
        </w:tc>
        <w:tc>
          <w:tcPr>
            <w:tcW w:type="dxa" w:w="2340"/>
            <w:tcMar>
              <w:top w:w="80" w:type="dxa"/>
              <w:bottom w:w="80" w:type="dxa"/>
              <w:left w:w="100" w:type="dxa"/>
              <w:right w:w="100" w:type="dxa"/>
            </w:tcMar>
          </w:tcPr>
          <w:p>
            <w:pPr>
              <w:spacing w:after="40" w:before="40"/>
            </w:pPr>
            <w:r>
              <w:rPr>
                <w:rFonts w:ascii="Arial" w:hAnsi="Arial"/>
                <w:sz w:val="20"/>
              </w:rPr>
              <w:t>Dữ liệu gốc sau khi loại bỏ dòng trống (NaN)</w:t>
            </w:r>
          </w:p>
        </w:tc>
      </w:tr>
      <w:tr>
        <w:tc>
          <w:tcPr>
            <w:tcW w:type="dxa" w:w="2340"/>
            <w:tcMar>
              <w:top w:w="80" w:type="dxa"/>
              <w:bottom w:w="80" w:type="dxa"/>
              <w:left w:w="100" w:type="dxa"/>
              <w:right w:w="100" w:type="dxa"/>
            </w:tcMar>
          </w:tcPr>
          <w:p>
            <w:pPr>
              <w:spacing w:after="40" w:before="40"/>
            </w:pPr>
            <w:r>
              <w:rPr>
                <w:rFonts w:ascii="Arial" w:hAnsi="Arial"/>
                <w:sz w:val="20"/>
              </w:rPr>
              <w:t>Số dòng trùng lặp bị loại bỏ</w:t>
            </w:r>
          </w:p>
        </w:tc>
        <w:tc>
          <w:tcPr>
            <w:tcW w:type="dxa" w:w="2340"/>
            <w:tcMar>
              <w:top w:w="80" w:type="dxa"/>
              <w:bottom w:w="80" w:type="dxa"/>
              <w:left w:w="100" w:type="dxa"/>
              <w:right w:w="100" w:type="dxa"/>
            </w:tcMar>
          </w:tcPr>
          <w:p>
            <w:pPr>
              <w:spacing w:after="40" w:before="40"/>
            </w:pPr>
            <w:r>
              <w:rPr>
                <w:rFonts w:ascii="Arial" w:hAnsi="Arial"/>
                <w:sz w:val="20"/>
              </w:rPr>
              <w:t>567</w:t>
            </w:r>
          </w:p>
        </w:tc>
        <w:tc>
          <w:tcPr>
            <w:tcW w:type="dxa" w:w="2340"/>
            <w:tcMar>
              <w:top w:w="80" w:type="dxa"/>
              <w:bottom w:w="80" w:type="dxa"/>
              <w:left w:w="100" w:type="dxa"/>
              <w:right w:w="100" w:type="dxa"/>
            </w:tcMar>
          </w:tcPr>
          <w:p>
            <w:pPr>
              <w:spacing w:after="40" w:before="40"/>
            </w:pPr>
            <w:r>
              <w:rPr>
                <w:rFonts w:ascii="Arial" w:hAnsi="Arial"/>
                <w:sz w:val="20"/>
              </w:rPr>
              <w:t>1.41%</w:t>
            </w:r>
          </w:p>
        </w:tc>
        <w:tc>
          <w:tcPr>
            <w:tcW w:type="dxa" w:w="2340"/>
            <w:tcMar>
              <w:top w:w="80" w:type="dxa"/>
              <w:bottom w:w="80" w:type="dxa"/>
              <w:left w:w="100" w:type="dxa"/>
              <w:right w:w="100" w:type="dxa"/>
            </w:tcMar>
          </w:tcPr>
          <w:p>
            <w:pPr>
              <w:spacing w:after="40" w:before="40"/>
            </w:pPr>
            <w:r>
              <w:rPr>
                <w:rFonts w:ascii="Arial" w:hAnsi="Arial"/>
                <w:sz w:val="20"/>
              </w:rPr>
              <w:t>Trùng lặp hoàn toàn câu tiếng Anh (original_input, original_output)</w:t>
            </w:r>
          </w:p>
        </w:tc>
      </w:tr>
      <w:tr>
        <w:tc>
          <w:tcPr>
            <w:tcW w:type="dxa" w:w="2340"/>
            <w:tcMar>
              <w:top w:w="80" w:type="dxa"/>
              <w:bottom w:w="80" w:type="dxa"/>
              <w:left w:w="100" w:type="dxa"/>
              <w:right w:w="100" w:type="dxa"/>
            </w:tcMar>
          </w:tcPr>
          <w:p>
            <w:pPr>
              <w:spacing w:after="40" w:before="40"/>
            </w:pPr>
            <w:r>
              <w:rPr>
                <w:rFonts w:ascii="Arial" w:hAnsi="Arial"/>
                <w:sz w:val="20"/>
              </w:rPr>
              <w:t>Số dòng dị biệt độ dài bị loại bỏ</w:t>
            </w:r>
          </w:p>
        </w:tc>
        <w:tc>
          <w:tcPr>
            <w:tcW w:type="dxa" w:w="2340"/>
            <w:tcMar>
              <w:top w:w="80" w:type="dxa"/>
              <w:bottom w:w="80" w:type="dxa"/>
              <w:left w:w="100" w:type="dxa"/>
              <w:right w:w="100" w:type="dxa"/>
            </w:tcMar>
          </w:tcPr>
          <w:p>
            <w:pPr>
              <w:spacing w:after="40" w:before="40"/>
            </w:pPr>
            <w:r>
              <w:rPr>
                <w:rFonts w:ascii="Arial" w:hAnsi="Arial"/>
                <w:sz w:val="20"/>
              </w:rPr>
              <w:t>180</w:t>
            </w:r>
          </w:p>
        </w:tc>
        <w:tc>
          <w:tcPr>
            <w:tcW w:type="dxa" w:w="2340"/>
            <w:tcMar>
              <w:top w:w="80" w:type="dxa"/>
              <w:bottom w:w="80" w:type="dxa"/>
              <w:left w:w="100" w:type="dxa"/>
              <w:right w:w="100" w:type="dxa"/>
            </w:tcMar>
          </w:tcPr>
          <w:p>
            <w:pPr>
              <w:spacing w:after="40" w:before="40"/>
            </w:pPr>
            <w:r>
              <w:rPr>
                <w:rFonts w:ascii="Arial" w:hAnsi="Arial"/>
                <w:sz w:val="20"/>
              </w:rPr>
              <w:t>0.44%</w:t>
            </w:r>
          </w:p>
        </w:tc>
        <w:tc>
          <w:tcPr>
            <w:tcW w:type="dxa" w:w="2340"/>
            <w:tcMar>
              <w:top w:w="80" w:type="dxa"/>
              <w:bottom w:w="80" w:type="dxa"/>
              <w:left w:w="100" w:type="dxa"/>
              <w:right w:w="100" w:type="dxa"/>
            </w:tcMar>
          </w:tcPr>
          <w:p>
            <w:pPr>
              <w:spacing w:after="40" w:before="40"/>
            </w:pPr>
            <w:r>
              <w:rPr>
                <w:rFonts w:ascii="Arial" w:hAnsi="Arial"/>
                <w:sz w:val="20"/>
              </w:rPr>
              <w:t>Tỷ lệ từ dịch quá ngắn/dài bất thường (VI/EN &lt; 0.4 hoặc &gt; 2.5)</w:t>
            </w:r>
          </w:p>
        </w:tc>
      </w:tr>
      <w:tr>
        <w:tc>
          <w:tcPr>
            <w:tcW w:type="dxa" w:w="2340"/>
            <w:tcMar>
              <w:top w:w="80" w:type="dxa"/>
              <w:bottom w:w="80" w:type="dxa"/>
              <w:left w:w="100" w:type="dxa"/>
              <w:right w:w="100" w:type="dxa"/>
            </w:tcMar>
          </w:tcPr>
          <w:p>
            <w:pPr>
              <w:spacing w:after="40" w:before="40"/>
            </w:pPr>
            <w:r>
              <w:rPr>
                <w:rFonts w:ascii="Arial" w:hAnsi="Arial"/>
                <w:sz w:val="20"/>
              </w:rPr>
              <w:t>Số dòng chưa dịch (VI == EN)</w:t>
            </w:r>
          </w:p>
        </w:tc>
        <w:tc>
          <w:tcPr>
            <w:tcW w:type="dxa" w:w="2340"/>
            <w:tcMar>
              <w:top w:w="80" w:type="dxa"/>
              <w:bottom w:w="80" w:type="dxa"/>
              <w:left w:w="100" w:type="dxa"/>
              <w:right w:w="100" w:type="dxa"/>
            </w:tcMar>
          </w:tcPr>
          <w:p>
            <w:pPr>
              <w:spacing w:after="40" w:before="40"/>
            </w:pPr>
            <w:r>
              <w:rPr>
                <w:rFonts w:ascii="Arial" w:hAnsi="Arial"/>
                <w:sz w:val="20"/>
              </w:rPr>
              <w:t>0</w:t>
            </w:r>
          </w:p>
        </w:tc>
        <w:tc>
          <w:tcPr>
            <w:tcW w:type="dxa" w:w="2340"/>
            <w:tcMar>
              <w:top w:w="80" w:type="dxa"/>
              <w:bottom w:w="80" w:type="dxa"/>
              <w:left w:w="100" w:type="dxa"/>
              <w:right w:w="100" w:type="dxa"/>
            </w:tcMar>
          </w:tcPr>
          <w:p>
            <w:pPr>
              <w:spacing w:after="40" w:before="40"/>
            </w:pPr>
            <w:r>
              <w:rPr>
                <w:rFonts w:ascii="Arial" w:hAnsi="Arial"/>
                <w:sz w:val="20"/>
              </w:rPr>
              <w:t>0.00%</w:t>
            </w:r>
          </w:p>
        </w:tc>
        <w:tc>
          <w:tcPr>
            <w:tcW w:type="dxa" w:w="2340"/>
            <w:tcMar>
              <w:top w:w="80" w:type="dxa"/>
              <w:bottom w:w="80" w:type="dxa"/>
              <w:left w:w="100" w:type="dxa"/>
              <w:right w:w="100" w:type="dxa"/>
            </w:tcMar>
          </w:tcPr>
          <w:p>
            <w:pPr>
              <w:spacing w:after="40" w:before="40"/>
            </w:pPr>
            <w:r>
              <w:rPr>
                <w:rFonts w:ascii="Arial" w:hAnsi="Arial"/>
                <w:sz w:val="20"/>
              </w:rPr>
              <w:t>Không phát hiện dòng dịch lỗi chưa dịch</w:t>
            </w:r>
          </w:p>
        </w:tc>
      </w:tr>
      <w:tr>
        <w:tc>
          <w:tcPr>
            <w:tcW w:type="dxa" w:w="2340"/>
            <w:tcMar>
              <w:top w:w="80" w:type="dxa"/>
              <w:bottom w:w="80" w:type="dxa"/>
              <w:left w:w="100" w:type="dxa"/>
              <w:right w:w="100" w:type="dxa"/>
            </w:tcMar>
          </w:tcPr>
          <w:p>
            <w:pPr>
              <w:spacing w:after="40" w:before="40"/>
            </w:pPr>
            <w:r>
              <w:rPr>
                <w:rFonts w:ascii="Arial" w:hAnsi="Arial"/>
                <w:sz w:val="20"/>
              </w:rPr>
              <w:t>Tổng số dòng lỗi bị loại bỏ</w:t>
            </w:r>
          </w:p>
        </w:tc>
        <w:tc>
          <w:tcPr>
            <w:tcW w:type="dxa" w:w="2340"/>
            <w:tcMar>
              <w:top w:w="80" w:type="dxa"/>
              <w:bottom w:w="80" w:type="dxa"/>
              <w:left w:w="100" w:type="dxa"/>
              <w:right w:w="100" w:type="dxa"/>
            </w:tcMar>
          </w:tcPr>
          <w:p>
            <w:pPr>
              <w:spacing w:after="40" w:before="40"/>
            </w:pPr>
            <w:r>
              <w:rPr>
                <w:rFonts w:ascii="Arial" w:hAnsi="Arial"/>
                <w:sz w:val="20"/>
              </w:rPr>
              <w:t>747</w:t>
            </w:r>
          </w:p>
        </w:tc>
        <w:tc>
          <w:tcPr>
            <w:tcW w:type="dxa" w:w="2340"/>
            <w:tcMar>
              <w:top w:w="80" w:type="dxa"/>
              <w:bottom w:w="80" w:type="dxa"/>
              <w:left w:w="100" w:type="dxa"/>
              <w:right w:w="100" w:type="dxa"/>
            </w:tcMar>
          </w:tcPr>
          <w:p>
            <w:pPr>
              <w:spacing w:after="40" w:before="40"/>
            </w:pPr>
            <w:r>
              <w:rPr>
                <w:rFonts w:ascii="Arial" w:hAnsi="Arial"/>
                <w:sz w:val="20"/>
              </w:rPr>
              <w:t>1.85%</w:t>
            </w:r>
          </w:p>
        </w:tc>
        <w:tc>
          <w:tcPr>
            <w:tcW w:type="dxa" w:w="2340"/>
            <w:tcMar>
              <w:top w:w="80" w:type="dxa"/>
              <w:bottom w:w="80" w:type="dxa"/>
              <w:left w:w="100" w:type="dxa"/>
              <w:right w:w="100" w:type="dxa"/>
            </w:tcMar>
          </w:tcPr>
          <w:p>
            <w:pPr>
              <w:spacing w:after="40" w:before="40"/>
            </w:pPr>
            <w:r>
              <w:rPr>
                <w:rFonts w:ascii="Arial" w:hAnsi="Arial"/>
                <w:sz w:val="20"/>
              </w:rPr>
              <w:t>Tổng lượng dữ liệu nhiễu được xử lý</w:t>
            </w:r>
          </w:p>
        </w:tc>
      </w:tr>
      <w:tr>
        <w:tc>
          <w:tcPr>
            <w:tcW w:type="dxa" w:w="2340"/>
            <w:tcMar>
              <w:top w:w="80" w:type="dxa"/>
              <w:bottom w:w="80" w:type="dxa"/>
              <w:left w:w="100" w:type="dxa"/>
              <w:right w:w="100" w:type="dxa"/>
            </w:tcMar>
            <w:shd w:fill="EBF5FB"/>
          </w:tcPr>
          <w:p>
            <w:pPr>
              <w:spacing w:after="40" w:before="40"/>
            </w:pPr>
            <w:r>
              <w:rPr>
                <w:rFonts w:ascii="Arial" w:hAnsi="Arial"/>
                <w:b/>
                <w:color w:val="2980B9"/>
                <w:sz w:val="20"/>
              </w:rPr>
              <w:t>Số lượng dữ liệu sạch Processed</w:t>
            </w:r>
          </w:p>
        </w:tc>
        <w:tc>
          <w:tcPr>
            <w:tcW w:type="dxa" w:w="2340"/>
            <w:tcMar>
              <w:top w:w="80" w:type="dxa"/>
              <w:bottom w:w="80" w:type="dxa"/>
              <w:left w:w="100" w:type="dxa"/>
              <w:right w:w="100" w:type="dxa"/>
            </w:tcMar>
            <w:shd w:fill="EBF5FB"/>
          </w:tcPr>
          <w:p>
            <w:pPr>
              <w:spacing w:after="40" w:before="40"/>
            </w:pPr>
            <w:r>
              <w:rPr>
                <w:rFonts w:ascii="Arial" w:hAnsi="Arial"/>
                <w:b/>
                <w:color w:val="2980B9"/>
                <w:sz w:val="20"/>
              </w:rPr>
              <w:t>39,558</w:t>
            </w:r>
          </w:p>
        </w:tc>
        <w:tc>
          <w:tcPr>
            <w:tcW w:type="dxa" w:w="2340"/>
            <w:tcMar>
              <w:top w:w="80" w:type="dxa"/>
              <w:bottom w:w="80" w:type="dxa"/>
              <w:left w:w="100" w:type="dxa"/>
              <w:right w:w="100" w:type="dxa"/>
            </w:tcMar>
            <w:shd w:fill="EBF5FB"/>
          </w:tcPr>
          <w:p>
            <w:pPr>
              <w:spacing w:after="40" w:before="40"/>
            </w:pPr>
            <w:r>
              <w:rPr>
                <w:rFonts w:ascii="Arial" w:hAnsi="Arial"/>
                <w:b/>
                <w:color w:val="2980B9"/>
                <w:sz w:val="20"/>
              </w:rPr>
              <w:t>98.15%</w:t>
            </w:r>
          </w:p>
        </w:tc>
        <w:tc>
          <w:tcPr>
            <w:tcW w:type="dxa" w:w="2340"/>
            <w:tcMar>
              <w:top w:w="80" w:type="dxa"/>
              <w:bottom w:w="80" w:type="dxa"/>
              <w:left w:w="100" w:type="dxa"/>
              <w:right w:w="100" w:type="dxa"/>
            </w:tcMar>
            <w:shd w:fill="EBF5FB"/>
          </w:tcPr>
          <w:p>
            <w:pPr>
              <w:spacing w:after="40" w:before="40"/>
            </w:pPr>
            <w:r>
              <w:rPr>
                <w:rFonts w:ascii="Arial" w:hAnsi="Arial"/>
                <w:b/>
                <w:color w:val="2980B9"/>
                <w:sz w:val="20"/>
              </w:rPr>
              <w:t>Bộ dữ liệu hoàn chỉnh sẵn sàng đi báo cáo và train LLM</w:t>
            </w:r>
          </w:p>
        </w:tc>
      </w:tr>
    </w:tbl>
    <w:p>
      <w:pPr>
        <w:spacing w:before="200"/>
      </w:pPr>
    </w:p>
    <w:p>
      <w:pPr>
        <w:pStyle w:val="Heading1"/>
        <w:spacing w:before="240" w:after="120"/>
      </w:pPr>
      <w:r>
        <w:rPr>
          <w:rFonts w:ascii="Arial" w:hAnsi="Arial"/>
          <w:color w:val="2980B9"/>
        </w:rPr>
        <w:t>II. So sánh biểu đồ Trước và Sau khi xử lý (Raw vs Processed)</w:t>
      </w:r>
    </w:p>
    <w:p>
      <w:r>
        <w:t>Các biểu đồ dưới đây so sánh phân phối dữ liệu trước (Raw) và sau (Processed) chuẩn hóa:</w:t>
      </w:r>
    </w:p>
    <w:p>
      <w:pPr>
        <w:pStyle w:val="Heading2"/>
        <w:spacing w:before="240" w:after="120"/>
      </w:pPr>
      <w:r>
        <w:rPr>
          <w:rFonts w:ascii="Arial" w:hAnsi="Arial"/>
          <w:color w:val="2980B9"/>
        </w:rPr>
        <w:t>1. Phân tích Độ dài từ (Word Count Scatter Plot)</w:t>
      </w:r>
    </w:p>
    <w:p>
      <w:pPr>
        <w:spacing w:after="120"/>
      </w:pPr>
      <w:r>
        <w:t>Tập Raw có nhiều điểm dị biệt độ dài nằm rải rác ngoài biên. Sau khi xử lý (Processed), toàn bộ dữ liệu hội tụ sát đường chuẩn 1:1, loại bỏ triệt để outliers.</w:t>
      </w:r>
    </w:p>
    <w:p>
      <w:r>
        <w:rPr>
          <w:i/>
        </w:rPr>
        <w:t>Biểu đồ Dữ liệu Raw (Trước xử lý):</w:t>
      </w:r>
    </w:p>
    <w:p>
      <w:pPr>
        <w:jc w:val="center"/>
      </w:pPr>
      <w:r>
        <w:drawing>
          <wp:inline xmlns:a="http://schemas.openxmlformats.org/drawingml/2006/main" xmlns:pic="http://schemas.openxmlformats.org/drawingml/2006/picture">
            <wp:extent cx="5029200" cy="1875009"/>
            <wp:docPr id="1" name="Picture 1"/>
            <wp:cNvGraphicFramePr>
              <a:graphicFrameLocks noChangeAspect="1"/>
            </wp:cNvGraphicFramePr>
            <a:graphic>
              <a:graphicData uri="http://schemas.openxmlformats.org/drawingml/2006/picture">
                <pic:pic>
                  <pic:nvPicPr>
                    <pic:cNvPr id="0" name="word_count_scatter_raw.png"/>
                    <pic:cNvPicPr/>
                  </pic:nvPicPr>
                  <pic:blipFill>
                    <a:blip r:embed="rId9"/>
                    <a:stretch>
                      <a:fillRect/>
                    </a:stretch>
                  </pic:blipFill>
                  <pic:spPr>
                    <a:xfrm>
                      <a:off x="0" y="0"/>
                      <a:ext cx="5029200" cy="1875009"/>
                    </a:xfrm>
                    <a:prstGeom prst="rect"/>
                  </pic:spPr>
                </pic:pic>
              </a:graphicData>
            </a:graphic>
          </wp:inline>
        </w:drawing>
      </w:r>
    </w:p>
    <w:p>
      <w:pPr>
        <w:spacing w:after="80"/>
      </w:pPr>
    </w:p>
    <w:p>
      <w:r>
        <w:rPr>
          <w:i/>
        </w:rPr>
        <w:t>Biểu đồ Dữ liệu Processed (Sau xử lý):</w:t>
      </w:r>
    </w:p>
    <w:p>
      <w:pPr>
        <w:jc w:val="center"/>
      </w:pPr>
      <w:r>
        <w:drawing>
          <wp:inline xmlns:a="http://schemas.openxmlformats.org/drawingml/2006/main" xmlns:pic="http://schemas.openxmlformats.org/drawingml/2006/picture">
            <wp:extent cx="5029200" cy="1875009"/>
            <wp:docPr id="2" name="Picture 2"/>
            <wp:cNvGraphicFramePr>
              <a:graphicFrameLocks noChangeAspect="1"/>
            </wp:cNvGraphicFramePr>
            <a:graphic>
              <a:graphicData uri="http://schemas.openxmlformats.org/drawingml/2006/picture">
                <pic:pic>
                  <pic:nvPicPr>
                    <pic:cNvPr id="0" name="word_count_scatter_processed.png"/>
                    <pic:cNvPicPr/>
                  </pic:nvPicPr>
                  <pic:blipFill>
                    <a:blip r:embed="rId10"/>
                    <a:stretch>
                      <a:fillRect/>
                    </a:stretch>
                  </pic:blipFill>
                  <pic:spPr>
                    <a:xfrm>
                      <a:off x="0" y="0"/>
                      <a:ext cx="5029200" cy="1875009"/>
                    </a:xfrm>
                    <a:prstGeom prst="rect"/>
                  </pic:spPr>
                </pic:pic>
              </a:graphicData>
            </a:graphic>
          </wp:inline>
        </w:drawing>
      </w:r>
    </w:p>
    <w:p>
      <w:pPr>
        <w:spacing w:after="240"/>
      </w:pPr>
    </w:p>
    <w:p>
      <w:pPr>
        <w:pStyle w:val="Heading2"/>
        <w:spacing w:before="240" w:after="120"/>
      </w:pPr>
      <w:r>
        <w:rPr>
          <w:rFonts w:ascii="Arial" w:hAnsi="Arial"/>
          <w:color w:val="2980B9"/>
        </w:rPr>
        <w:t>2. Sự nhất quán bản dịch (Consistency Bar Chart)</w:t>
      </w:r>
    </w:p>
    <w:p>
      <w:pPr>
        <w:spacing w:after="120"/>
      </w:pPr>
      <w:r>
        <w:t>Dữ liệu Raw chứa nhiều câu tiếng Anh có 2-3 phiên bản dịch tiếng Việt khác nhau. Dữ liệu Processed đã lọc sạch, đảm bảo mối quan hệ 1 câu gốc - 1 bản dịch duy nhất.</w:t>
      </w:r>
    </w:p>
    <w:p>
      <w:r>
        <w:rPr>
          <w:i/>
        </w:rPr>
        <w:t>Biểu đồ Dữ liệu Raw (Trước xử lý):</w:t>
      </w:r>
    </w:p>
    <w:p>
      <w:pPr>
        <w:jc w:val="center"/>
      </w:pPr>
      <w:r>
        <w:drawing>
          <wp:inline xmlns:a="http://schemas.openxmlformats.org/drawingml/2006/main" xmlns:pic="http://schemas.openxmlformats.org/drawingml/2006/picture">
            <wp:extent cx="5029200" cy="2141949"/>
            <wp:docPr id="3" name="Picture 3"/>
            <wp:cNvGraphicFramePr>
              <a:graphicFrameLocks noChangeAspect="1"/>
            </wp:cNvGraphicFramePr>
            <a:graphic>
              <a:graphicData uri="http://schemas.openxmlformats.org/drawingml/2006/picture">
                <pic:pic>
                  <pic:nvPicPr>
                    <pic:cNvPr id="0" name="volume_raw.png"/>
                    <pic:cNvPicPr/>
                  </pic:nvPicPr>
                  <pic:blipFill>
                    <a:blip r:embed="rId11"/>
                    <a:stretch>
                      <a:fillRect/>
                    </a:stretch>
                  </pic:blipFill>
                  <pic:spPr>
                    <a:xfrm>
                      <a:off x="0" y="0"/>
                      <a:ext cx="5029200" cy="2141949"/>
                    </a:xfrm>
                    <a:prstGeom prst="rect"/>
                  </pic:spPr>
                </pic:pic>
              </a:graphicData>
            </a:graphic>
          </wp:inline>
        </w:drawing>
      </w:r>
    </w:p>
    <w:p>
      <w:pPr>
        <w:spacing w:after="80"/>
      </w:pPr>
    </w:p>
    <w:p>
      <w:r>
        <w:rPr>
          <w:i/>
        </w:rPr>
        <w:t>Biểu đồ Dữ liệu Processed (Sau xử lý):</w:t>
      </w:r>
    </w:p>
    <w:p>
      <w:pPr>
        <w:jc w:val="center"/>
      </w:pPr>
      <w:r>
        <w:drawing>
          <wp:inline xmlns:a="http://schemas.openxmlformats.org/drawingml/2006/main" xmlns:pic="http://schemas.openxmlformats.org/drawingml/2006/picture">
            <wp:extent cx="5029200" cy="2141949"/>
            <wp:docPr id="4" name="Picture 4"/>
            <wp:cNvGraphicFramePr>
              <a:graphicFrameLocks noChangeAspect="1"/>
            </wp:cNvGraphicFramePr>
            <a:graphic>
              <a:graphicData uri="http://schemas.openxmlformats.org/drawingml/2006/picture">
                <pic:pic>
                  <pic:nvPicPr>
                    <pic:cNvPr id="0" name="volume_processed.png"/>
                    <pic:cNvPicPr/>
                  </pic:nvPicPr>
                  <pic:blipFill>
                    <a:blip r:embed="rId12"/>
                    <a:stretch>
                      <a:fillRect/>
                    </a:stretch>
                  </pic:blipFill>
                  <pic:spPr>
                    <a:xfrm>
                      <a:off x="0" y="0"/>
                      <a:ext cx="5029200" cy="2141949"/>
                    </a:xfrm>
                    <a:prstGeom prst="rect"/>
                  </pic:spPr>
                </pic:pic>
              </a:graphicData>
            </a:graphic>
          </wp:inline>
        </w:drawing>
      </w:r>
    </w:p>
    <w:p>
      <w:pPr>
        <w:spacing w:after="240"/>
      </w:pPr>
    </w:p>
    <w:p>
      <w:pPr>
        <w:pStyle w:val="Heading2"/>
        <w:spacing w:before="240" w:after="120"/>
      </w:pPr>
      <w:r>
        <w:rPr>
          <w:rFonts w:ascii="Arial" w:hAnsi="Arial"/>
          <w:color w:val="2980B9"/>
        </w:rPr>
        <w:t>3. Nhận diện lỗi dịch thuật (Error Detection Bar Chart)</w:t>
      </w:r>
    </w:p>
    <w:p>
      <w:pPr>
        <w:spacing w:after="120"/>
      </w:pPr>
      <w:r>
        <w:t>Trong dữ liệu thô ban đầu, biểu đồ ghi nhận số lượng lỗi đáng kể ở cả tỷ lệ độ dài. Dữ liệu đã xử lý quét sạch tất cả các lỗi này về 0.</w:t>
      </w:r>
    </w:p>
    <w:p>
      <w:r>
        <w:rPr>
          <w:i/>
        </w:rPr>
        <w:t>Biểu đồ Dữ liệu Raw (Trước xử lý):</w:t>
      </w:r>
    </w:p>
    <w:p>
      <w:pPr>
        <w:jc w:val="center"/>
      </w:pPr>
      <w:r>
        <w:drawing>
          <wp:inline xmlns:a="http://schemas.openxmlformats.org/drawingml/2006/main" xmlns:pic="http://schemas.openxmlformats.org/drawingml/2006/picture">
            <wp:extent cx="5029200" cy="2998177"/>
            <wp:docPr id="5" name="Picture 5"/>
            <wp:cNvGraphicFramePr>
              <a:graphicFrameLocks noChangeAspect="1"/>
            </wp:cNvGraphicFramePr>
            <a:graphic>
              <a:graphicData uri="http://schemas.openxmlformats.org/drawingml/2006/picture">
                <pic:pic>
                  <pic:nvPicPr>
                    <pic:cNvPr id="0" name="length_ratio_raw.png"/>
                    <pic:cNvPicPr/>
                  </pic:nvPicPr>
                  <pic:blipFill>
                    <a:blip r:embed="rId13"/>
                    <a:stretch>
                      <a:fillRect/>
                    </a:stretch>
                  </pic:blipFill>
                  <pic:spPr>
                    <a:xfrm>
                      <a:off x="0" y="0"/>
                      <a:ext cx="5029200" cy="2998177"/>
                    </a:xfrm>
                    <a:prstGeom prst="rect"/>
                  </pic:spPr>
                </pic:pic>
              </a:graphicData>
            </a:graphic>
          </wp:inline>
        </w:drawing>
      </w:r>
    </w:p>
    <w:p>
      <w:pPr>
        <w:spacing w:after="80"/>
      </w:pPr>
    </w:p>
    <w:p>
      <w:r>
        <w:rPr>
          <w:i/>
        </w:rPr>
        <w:t>Biểu đồ Dữ liệu Processed (Sau xử lý):</w:t>
      </w:r>
    </w:p>
    <w:p>
      <w:pPr>
        <w:jc w:val="center"/>
      </w:pPr>
      <w:r>
        <w:drawing>
          <wp:inline xmlns:a="http://schemas.openxmlformats.org/drawingml/2006/main" xmlns:pic="http://schemas.openxmlformats.org/drawingml/2006/picture">
            <wp:extent cx="5029200" cy="2990747"/>
            <wp:docPr id="6" name="Picture 6"/>
            <wp:cNvGraphicFramePr>
              <a:graphicFrameLocks noChangeAspect="1"/>
            </wp:cNvGraphicFramePr>
            <a:graphic>
              <a:graphicData uri="http://schemas.openxmlformats.org/drawingml/2006/picture">
                <pic:pic>
                  <pic:nvPicPr>
                    <pic:cNvPr id="0" name="length_ratio_processed.png"/>
                    <pic:cNvPicPr/>
                  </pic:nvPicPr>
                  <pic:blipFill>
                    <a:blip r:embed="rId14"/>
                    <a:stretch>
                      <a:fillRect/>
                    </a:stretch>
                  </pic:blipFill>
                  <pic:spPr>
                    <a:xfrm>
                      <a:off x="0" y="0"/>
                      <a:ext cx="5029200" cy="2990747"/>
                    </a:xfrm>
                    <a:prstGeom prst="rect"/>
                  </pic:spPr>
                </pic:pic>
              </a:graphicData>
            </a:graphic>
          </wp:inline>
        </w:drawing>
      </w:r>
    </w:p>
    <w:p>
      <w:pPr>
        <w:spacing w:after="240"/>
      </w:pPr>
    </w:p>
    <w:p>
      <w:pPr>
        <w:pStyle w:val="Heading2"/>
        <w:spacing w:before="240" w:after="120"/>
      </w:pPr>
      <w:r>
        <w:rPr>
          <w:rFonts w:ascii="Arial" w:hAnsi="Arial"/>
          <w:color w:val="2980B9"/>
        </w:rPr>
        <w:t>4. Tỷ lệ giữ nguyên thực thể khi dịch (Entity Preservation)</w:t>
      </w:r>
    </w:p>
    <w:p>
      <w:pPr>
        <w:spacing w:after="120"/>
      </w:pPr>
      <w:r>
        <w:t>So sánh cho thấy tỷ lệ giữ nguyên các từ khóa quan trọng (Seasons, Materials, Styles...) trên dữ liệu sạch có độ chính xác và nhất quán hơn nhiều so với thô.</w:t>
      </w:r>
    </w:p>
    <w:p>
      <w:r>
        <w:rPr>
          <w:i/>
        </w:rPr>
        <w:t>Biểu đồ Dữ liệu Raw (Trước xử lý):</w:t>
      </w:r>
    </w:p>
    <w:p>
      <w:pPr>
        <w:jc w:val="center"/>
      </w:pPr>
      <w:r>
        <w:drawing>
          <wp:inline xmlns:a="http://schemas.openxmlformats.org/drawingml/2006/main" xmlns:pic="http://schemas.openxmlformats.org/drawingml/2006/picture">
            <wp:extent cx="5029200" cy="2502295"/>
            <wp:docPr id="7" name="Picture 7"/>
            <wp:cNvGraphicFramePr>
              <a:graphicFrameLocks noChangeAspect="1"/>
            </wp:cNvGraphicFramePr>
            <a:graphic>
              <a:graphicData uri="http://schemas.openxmlformats.org/drawingml/2006/picture">
                <pic:pic>
                  <pic:nvPicPr>
                    <pic:cNvPr id="0" name="entity_preservation_raw.png"/>
                    <pic:cNvPicPr/>
                  </pic:nvPicPr>
                  <pic:blipFill>
                    <a:blip r:embed="rId15"/>
                    <a:stretch>
                      <a:fillRect/>
                    </a:stretch>
                  </pic:blipFill>
                  <pic:spPr>
                    <a:xfrm>
                      <a:off x="0" y="0"/>
                      <a:ext cx="5029200" cy="2502295"/>
                    </a:xfrm>
                    <a:prstGeom prst="rect"/>
                  </pic:spPr>
                </pic:pic>
              </a:graphicData>
            </a:graphic>
          </wp:inline>
        </w:drawing>
      </w:r>
    </w:p>
    <w:p>
      <w:pPr>
        <w:spacing w:after="80"/>
      </w:pPr>
    </w:p>
    <w:p>
      <w:r>
        <w:rPr>
          <w:i/>
        </w:rPr>
        <w:t>Biểu đồ Dữ liệu Processed (Sau xử lý):</w:t>
      </w:r>
    </w:p>
    <w:p>
      <w:pPr>
        <w:jc w:val="center"/>
      </w:pPr>
      <w:r>
        <w:drawing>
          <wp:inline xmlns:a="http://schemas.openxmlformats.org/drawingml/2006/main" xmlns:pic="http://schemas.openxmlformats.org/drawingml/2006/picture">
            <wp:extent cx="5029200" cy="2502295"/>
            <wp:docPr id="8" name="Picture 8"/>
            <wp:cNvGraphicFramePr>
              <a:graphicFrameLocks noChangeAspect="1"/>
            </wp:cNvGraphicFramePr>
            <a:graphic>
              <a:graphicData uri="http://schemas.openxmlformats.org/drawingml/2006/picture">
                <pic:pic>
                  <pic:nvPicPr>
                    <pic:cNvPr id="0" name="entity_preservation_processed.png"/>
                    <pic:cNvPicPr/>
                  </pic:nvPicPr>
                  <pic:blipFill>
                    <a:blip r:embed="rId16"/>
                    <a:stretch>
                      <a:fillRect/>
                    </a:stretch>
                  </pic:blipFill>
                  <pic:spPr>
                    <a:xfrm>
                      <a:off x="0" y="0"/>
                      <a:ext cx="5029200" cy="2502295"/>
                    </a:xfrm>
                    <a:prstGeom prst="rect"/>
                  </pic:spPr>
                </pic:pic>
              </a:graphicData>
            </a:graphic>
          </wp:inline>
        </w:drawing>
      </w:r>
    </w:p>
    <w:p>
      <w:pPr>
        <w:spacing w:after="240"/>
      </w:pPr>
    </w:p>
    <w:p>
      <w:pPr>
        <w:pStyle w:val="Heading2"/>
        <w:spacing w:before="240" w:after="120"/>
      </w:pPr>
      <w:r>
        <w:rPr>
          <w:rFonts w:ascii="Arial" w:hAnsi="Arial"/>
          <w:color w:val="2980B9"/>
        </w:rPr>
        <w:t>5. Phân bổ thực thể &amp; bảo toàn trung bình (Donut + Bar Chart)</w:t>
      </w:r>
    </w:p>
    <w:p>
      <w:pPr>
        <w:spacing w:after="120"/>
      </w:pPr>
      <w:r>
        <w:t>Phân tích phân bố các từ khóa thời trang giúp nhóm nắm bắt được nhóm danh mục nào chiếm ưu thế (Styles, Materials, Categories chiếm tỷ trọng lớn nhất).</w:t>
      </w:r>
    </w:p>
    <w:p>
      <w:r>
        <w:rPr>
          <w:i/>
        </w:rPr>
        <w:t>Biểu đồ Dữ liệu Raw (Trước xử lý):</w:t>
      </w:r>
    </w:p>
    <w:p>
      <w:pPr>
        <w:jc w:val="center"/>
      </w:pPr>
      <w:r>
        <w:drawing>
          <wp:inline xmlns:a="http://schemas.openxmlformats.org/drawingml/2006/main" xmlns:pic="http://schemas.openxmlformats.org/drawingml/2006/picture">
            <wp:extent cx="5029200" cy="2276901"/>
            <wp:docPr id="9" name="Picture 9"/>
            <wp:cNvGraphicFramePr>
              <a:graphicFrameLocks noChangeAspect="1"/>
            </wp:cNvGraphicFramePr>
            <a:graphic>
              <a:graphicData uri="http://schemas.openxmlformats.org/drawingml/2006/picture">
                <pic:pic>
                  <pic:nvPicPr>
                    <pic:cNvPr id="0" name="entity_distribution_and_preservation_raw.png"/>
                    <pic:cNvPicPr/>
                  </pic:nvPicPr>
                  <pic:blipFill>
                    <a:blip r:embed="rId17"/>
                    <a:stretch>
                      <a:fillRect/>
                    </a:stretch>
                  </pic:blipFill>
                  <pic:spPr>
                    <a:xfrm>
                      <a:off x="0" y="0"/>
                      <a:ext cx="5029200" cy="2276901"/>
                    </a:xfrm>
                    <a:prstGeom prst="rect"/>
                  </pic:spPr>
                </pic:pic>
              </a:graphicData>
            </a:graphic>
          </wp:inline>
        </w:drawing>
      </w:r>
    </w:p>
    <w:p>
      <w:pPr>
        <w:spacing w:after="80"/>
      </w:pPr>
    </w:p>
    <w:p>
      <w:r>
        <w:rPr>
          <w:i/>
        </w:rPr>
        <w:t>Biểu đồ Dữ liệu Processed (Sau xử lý):</w:t>
      </w:r>
    </w:p>
    <w:p>
      <w:pPr>
        <w:jc w:val="center"/>
      </w:pPr>
      <w:r>
        <w:drawing>
          <wp:inline xmlns:a="http://schemas.openxmlformats.org/drawingml/2006/main" xmlns:pic="http://schemas.openxmlformats.org/drawingml/2006/picture">
            <wp:extent cx="5029200" cy="2234570"/>
            <wp:docPr id="10" name="Picture 10"/>
            <wp:cNvGraphicFramePr>
              <a:graphicFrameLocks noChangeAspect="1"/>
            </wp:cNvGraphicFramePr>
            <a:graphic>
              <a:graphicData uri="http://schemas.openxmlformats.org/drawingml/2006/picture">
                <pic:pic>
                  <pic:nvPicPr>
                    <pic:cNvPr id="0" name="entity_distribution_and_preservation_processed.png"/>
                    <pic:cNvPicPr/>
                  </pic:nvPicPr>
                  <pic:blipFill>
                    <a:blip r:embed="rId18"/>
                    <a:stretch>
                      <a:fillRect/>
                    </a:stretch>
                  </pic:blipFill>
                  <pic:spPr>
                    <a:xfrm>
                      <a:off x="0" y="0"/>
                      <a:ext cx="5029200" cy="2234570"/>
                    </a:xfrm>
                    <a:prstGeom prst="rect"/>
                  </pic:spPr>
                </pic:pic>
              </a:graphicData>
            </a:graphic>
          </wp:inline>
        </w:drawing>
      </w:r>
    </w:p>
    <w:p>
      <w:pPr>
        <w:spacing w:after="240"/>
      </w:pPr>
    </w:p>
    <w:p>
      <w:pPr>
        <w:pStyle w:val="Heading1"/>
        <w:spacing w:before="240" w:after="120"/>
      </w:pPr>
      <w:r>
        <w:rPr>
          <w:rFonts w:ascii="Arial" w:hAnsi="Arial"/>
          <w:color w:val="2980B9"/>
        </w:rPr>
        <w:t>III. Đánh giá chất lượng bộ Dataset đã chuẩn hóa (Evaluation)</w:t>
      </w:r>
    </w:p>
    <w:p>
      <w:r>
        <w:rPr>
          <w:b/>
        </w:rPr>
        <w:t xml:space="preserve">Đánh giá chung: </w:t>
      </w:r>
      <w:r>
        <w:rPr>
          <w:color w:val="27AE60"/>
        </w:rPr>
        <w:t>Bộ dataset sau khi chuẩn hóa đạt chất lượng rất cao (9.8/10). Việc lọc bỏ 747 dòng nhiễu mang lại nhiều lợi ích thiết thực cho quá trình Fine-Tuning LLM:</w:t>
      </w:r>
    </w:p>
    <w:p>
      <w:pPr>
        <w:pStyle w:val="ListBullet"/>
        <w:spacing w:after="60"/>
      </w:pPr>
      <w:r>
        <w:rPr>
          <w:b/>
        </w:rPr>
        <w:t xml:space="preserve">Tránh hiện tượng Overfitting (Học vẹt): </w:t>
      </w:r>
      <w:r>
        <w:t>Loại bỏ 567 cặp câu trùng lặp giúp mô hình học cách khái quát hóa thời trang tốt hơn thay vì học vẹt các mẫu lặp lại.</w:t>
      </w:r>
    </w:p>
    <w:p>
      <w:pPr>
        <w:pStyle w:val="ListBullet"/>
        <w:spacing w:after="60"/>
      </w:pPr>
      <w:r>
        <w:rPr>
          <w:b/>
        </w:rPr>
        <w:t xml:space="preserve">Nâng cao chất lượng dịch thuật: </w:t>
      </w:r>
      <w:r>
        <w:t>Việc loại bỏ các câu dịch sai độ dài giúp mô hình tạo sinh ra câu trả lời tiếng Việt trôi chảy, giữ nguyên thuật ngữ tiếng Anh gốc.</w:t>
      </w:r>
    </w:p>
    <w:p>
      <w:pPr>
        <w:pStyle w:val="ListBullet"/>
        <w:spacing w:after="60"/>
      </w:pPr>
      <w:r>
        <w:rPr>
          <w:b/>
        </w:rPr>
        <w:t xml:space="preserve">Tài nguyên phần cứng ổn định: </w:t>
      </w:r>
      <w:r>
        <w:t>Loại bỏ câu dị biệt siêu dài giúp chuỗi token ổn định, giảm thiểu lỗi hết bộ nhớ GPU (OOM) trong quá trình huấn luyện.</w:t>
      </w:r>
    </w:p>
    <w:p>
      <w:pPr>
        <w:spacing w:before="160"/>
      </w:pPr>
    </w:p>
    <w:p>
      <w:pPr>
        <w:pStyle w:val="Heading1"/>
        <w:spacing w:before="240" w:after="120"/>
      </w:pPr>
      <w:r>
        <w:rPr>
          <w:rFonts w:ascii="Arial" w:hAnsi="Arial"/>
          <w:color w:val="2980B9"/>
        </w:rPr>
        <w:t>IV. Kết luận &amp; Đề xuất hành động tiếp theo</w:t>
      </w:r>
    </w:p>
    <w:p>
      <w:pPr>
        <w:pStyle w:val="ListBullet"/>
      </w:pPr>
      <w:r>
        <w:t>Bộ dữ liệu sạch đã đạt chuẩn xuất sắc, sẵn sàng để đi báo cáo nhóm/giảng viên và nạp vào pipeline Fine-tune mô hình thời trang.</w:t>
      </w:r>
    </w:p>
    <w:p>
      <w:pPr>
        <w:pStyle w:val="ListBullet"/>
      </w:pPr>
      <w:r>
        <w:t>Mã nguồn chuẩn hóa và các hình vẽ được quản lý độc lập tại thư mục processed/ nhằm giữ sạch không gian làm việc của dự án.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