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AGENTIC AI SOCIAL &amp; CUSTOMER SERVICE</w:t>
        <w:br w:type="textWrapping"/>
        <w:t xml:space="preserve">RESILIENCE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Defending AI agents against inference abuse, context pollution, tool abuse and human-escalation exhaustion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A cross-platform framework for customer-service, community and social AI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Version 1.0 | August 2026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by Adrian Lee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 agents are moving beyond traditional chatbots. In customer service and online communities, agents can continuously observe messages, determine whether a response is required, retrieve information, call APIs, execute workflows, moderate content and escalate cases to humans. This creates significant efficiency opportunities, but it also creates a new class of operational and security risk: an adversary may attempt to make the target's AI perform unnecessary 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playbook treats the problem as a resource-governance issue rather than merely a spam problem. The protected resources are not only tokens and GPU capacity, but also API capacity, knowledge-retrieval capacity, moderation capacity, human-review time and organizational attention.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principle: An AI agent should never have unlimited authority, unlimited compute, unlimited tool access or unlimited ability to consume scarce human capacity.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What the attacker is trying to 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Inference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Tokens / GPU time / API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Compute budgets + model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Engagement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Engagement governor + risk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 window / retrieval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 isolation + relevance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Tool amplification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Backend/API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Deterministic authorization + tool budgets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escalation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Reviewer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Escalation governance + clustering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Coordinated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System capacity across 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Cross-account behavioral correlation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Community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Trust and information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Source weighting + moderation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2. Scope: Where This Threat Model Applies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same underlying risk appears wherever an AI agent is exposed to ongoing human or automated interaction. The platform matters less than the interaction mechanics.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Typical AI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Customer-service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Answers authenticated customer requests and performs account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Monitors channels, answers questions, moderates or triggers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Responds in groups, support channels or direct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Reddit / forums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Reads threads, answers questions or summarizes 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Social community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Monitors comments, mentions and community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Messaging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Responds to ongoing conversations and support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Slack / workplace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Answers questions and accesses organizational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Live-chat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Handles real-time customer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Important: The playbook is platform-agnostic. Discord and Telegram are examples, not the limits of the threat model.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3. The Expanded Threat 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Traditional spam attempts to consume attention. Agentic abuse can consume computational and operational resources while appearing superficially legitimate.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3.1 The resource chain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message enters the platform.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lightweight or expensive AI component determines whether the message deserves a response.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agent retrieves conversation or knowledge context.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agent reasons over that context.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agent invokes one or more tools or backend systems.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agent generates a response and may continue monitoring the resulting conversation.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agent cannot resolve the issue, the workflow may escalate to a human.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 attacker does not necessarily need to compromise any system. If the agent is designed to perform these actions automatically, the attacker may attempt to induce legitimate system behavior at scale.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3.2 Five attack surfaces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Attack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Potential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Higher inference usage, GPU saturation or cloud API 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Larger prompts, repeated history processing and lower signal-to-noise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Unnecessary CRM, payment, search, ticketing or API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Large numbers of escalations or moderation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Information pollution, confusion, trust erosion or moderation overload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4. Why Social and Community Platforms Can Be More Exposed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traditional support portal often begins with an authenticated customer session. A community agent may instead sit inside a public or semi-public conversation stream and continuously decide whether to engage. This creates a wider surface for automated interaction.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Community / social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Session-based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Continuous or channel-wide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Usually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May be public or semi-public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Message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Relatively bounded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Potentially 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Customer-specific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Shared community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Mostly customer-driven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User agents and bots may interact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Moderation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Separate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Often integrated with the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Potentially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4.1 The 'lurking agent' problem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continuously monitoring agent creates a fundamental design question: should every message be considered for expensive AI processing? The answer should be no. Reading can be cheap; autonomous reasoning and tool use should be selective.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5732478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Preferred pattern: Every message → cheap triage → selective reasoning → bounded action.</w:t>
          </w:r>
        </w:sdtContent>
      </w:sdt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5. Threat Taxonomy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resource at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1. Inference-cost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Inducing expensive agent workflows at scale.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Variable cloud spend or finite GPU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2. Engagement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Repeatedly creating plausible reasons for the agent to respond.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attention and compute.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3. Context-window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Increasing irrelevant or repetitive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Higher token use and lower answer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4. Retrieval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Introducing misleading or low-quality material into accessible information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Poor answers and additional verification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5. Tool amplification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Causing unnecessary calls to business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API capacity, latency and operational side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6. Human escalation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Generating cases that trigger manual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Reviewer capacity and service queues.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7. Coordinated multi-account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Distributing activity across many identities.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Difficulty of account-level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8. Agent-to-agent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Automated systems interacting at scale.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Rapid amplification and ambiguous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9. Community trust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Using AI-generated interactions to shape perceived consensus or information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Reputation and moderation burden.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10. Runaway agent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Retries, loops or repeated tool calls caused by model/system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Unplanned resource consumption.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6. Economics of Agentic Abuse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critical metric is not simply tokens per message. A short message can cause a large amount of downstream work. Conversely, a long message may be resolved cheaply by a lightweight model.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Illustrative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Total tokens /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Planning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2k–8k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FAQ or narrow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10k–30k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Several retrieval/tool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50k–150k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Multiple reasoning and verification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Very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150k–500k+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Long context, retries or multiple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These figures are planning ranges, not industry averages. Actual cost depends on model pricing, input/output mix, cached context, local inference, tool charges and infrastructure.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6.1 Cost per successful resolution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correct business KPI is: total AI and operational cost divided by successfully resolved cases. An agent that uses more tokens but resolves far more work may be economically superior.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Token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Computational 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Inference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Direct model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Cost per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Economic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Resolution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Operational effectiveness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minutes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Residual labor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Abuse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Unproductive resource consumption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7. Compute Governance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Every agent session should have a bounded computational authority. A normalized internal metric such as Compute Cost Units (CCU) can simplify governance across different models and infrastructure.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Input/output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Measures model 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More capable models can have higher economic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Cached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Changes marginal inference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Tool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Captures downstream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Detects unusually long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Retries/loops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Detects runaway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Signals capacity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Measures consumption of scarce reviewer capacity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Automated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Continue within normal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Reduce context, route to cheaper model or restrict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Stop expanding the workflow and attempt bounded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Terminate autonomous execution and route to an appropriate controlled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Do not publish a single deterministic threshold that tells outsiders exactly when an agent escalates. Use multiple internal signals and dynamic controls.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8. The Conversation Engagement Governor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 social and community agents, the first question should not be 'Can the model answer this?' It should be 'Should the organization spend agentic resources answering this?'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Message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Receive and normalize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Cheap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Determine relevance, risk and likely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response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Ignore or use deterministic reaction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Use lightweight model/retrieval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Useful but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Invoke bounded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High-impact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Require stronger authorization or human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Restrict expensive autonomy and route to abuse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9. Context and Knowledge Protection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Community agents face a special problem: shared conversation history can contain noise, repetition, misleading claims and adversarial content. The agent should not treat every nearby message as equally trustworthy context.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Separate authoritative knowledge from conversational content.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trust and provenance to retrieved sources.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relevance filtering before inserting community messages into context.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Avoid replaying entire channel histories when a compact state representation is sufficient.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Prevent untrusted user content from silently becoming persistent system knowledge.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which sources materially influenced high-impact responses.</w:t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10. Tool and Action Governance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Agentic systems should treat tool access as a privilege, not a default capability. The model can propose an action; a deterministic policy layer should decide whether the action is authorized.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Tool allowlist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may access order status but not arbitrary account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Parameter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Reject malformed or out-of-policy tool arguments.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Per-session tool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Limit repeated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High-impact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Require explicit confirmation or human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Prevent repeated execution of the same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Record actor, tool, parameters, result and policy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11. Protecting the Human Escalation Layer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Human review is itself a finite resource. An attacker should not be able to turn an AI threshold into an unlimited human-work generator.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Risky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Resilient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 token usage automatically creates a human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 cost triggers automated triage and risk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Every suspicious case enters the normal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Suspicious cases enter a separate controlled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One case = one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Cluster related cases and investigate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sees raw conversation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receives reason, evidence, agent actions and risk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queue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Set operational capacity and overflow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12. Cross-Account and Coordinated Abuse Detection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Account-level controls are insufficient when abuse is distributed. Defensive systems should look for correlated behavior without assuming that any single signal proves malicious intent.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Signal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Age, history, verification, reputation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Velocity, repetition, session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Similarity, unusual interaction patterns, repeated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Resource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Compute cost, tool calls, escalation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Synchronized activity across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Shared risk signals available to the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Use these signals for risk-based controls and investigation. Avoid relying on a single identifier such as IP address.</w:t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13. Cloud, Self-Hosted and Hybrid Architectures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Operational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Cloud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Variable per-token or per-request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Elastic capacity and frontier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Self-hosted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Finite compute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Predictable marginal inference economics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Hybrid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Both variable and capacity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Best flexibility and model routing options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Self-hosting does not make inference free. It converts a portion of the problem from variable API spend to finite compute capacity, electricity, operations and opportunity cost.</w:t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14. Reference Defensive Architecture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Edge /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Identity, bot signals, rate limits, account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Engagement governor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Decides whether expensive AI work is warranted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Risk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Scores intent, complexity and abuse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Compute governor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Sets model, context, tool and session budgets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Performs bounded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Policy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Authorizes sensitive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Knowledge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Separates trusted sources from community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Measures cost, performance, anomalies and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Handles consequential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Security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Investigates coordinated abuse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15. Incident Response SOP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Defensive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Alert on abnormal compute, tool calls, escalation volume or coordinated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Reduce agent capability and route affected traffic to cheaper/deterministic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Correlate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Identify related accounts, sessions, channels and time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Prevent suspicious cases from consuming normal human queues.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Separate external abuse from agent bugs or legitimate demand.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Restore normal routing gradually.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Update evaluations, budgets, routing and abuse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16. Minimum Monitoring Dashboard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Inference cost, tokens, cost/resolution, cache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Steps, tool calls, retries, loop rate, context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Messages observed, response rate, engagement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Suspicious sessions, account clusters, anomalous compute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Queue depth, human minutes, SLA, escalation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Capacity headroom, fallback events, service degradation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17. AI Governance and Accountability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This problem should not be owned solely by the AI engineering team. It spans AI governance, security, trust and safety, customer operations, platform engineering and community management.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Risk appetite, oversight, accountability and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Abuse detection, threat modeling and incident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Trust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Community integrity, moderation and coordinated abuse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Models, agents, routing and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Platform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Capacity, rate limits, identity and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Customer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Escalation and service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High-impact decisions and regulatory obligations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18. Maturity Model</w:t>
      </w:r>
    </w:p>
    <w:tbl>
      <w:tblPr>
        <w:tblStyle w:val="Table1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1. 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Basic bot, basic logs and manual intervention.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2. 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Rate limits, model routing and bounded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3. 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Per-session compute, cost and escalation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4. Resilient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Behavioral correlation, protected queues and automated fail-down.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5. 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Continuous evaluation, adversarial testing and dynamic resource governance.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  <w:t xml:space="preserve">19. 90-Day Implementation Roadmap</w:t>
      </w:r>
    </w:p>
    <w:tbl>
      <w:tblPr>
        <w:tblStyle w:val="Table2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Priority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Days 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Inventory agents and tools; instrument cost/steps/tool calls; map escalation paths; identify high-impact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Days 31–60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Deploy engagement governor, model routing, compute budgets, tool budgets and account-abuse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Days 61–90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Add cross-account correlation, protected escalation queues, fail-down, tabletop exercises and adversarial 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r w:rsidDel="00000000" w:rsidR="00000000" w:rsidRPr="00000000">
        <w:rPr>
          <w:rtl w:val="0"/>
        </w:rPr>
        <w:t xml:space="preserve">20. Tabletop Exercises</w:t>
      </w:r>
    </w:p>
    <w:tbl>
      <w:tblPr>
        <w:tblStyle w:val="Table2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Question to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Inference-cost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the team distinguish demand growth, agent regression and abuse?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Community message flood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the agent ignore low-value traffic without harming legitimate users?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Escalation flood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suspicious cases be prevented from overwhelming human reviewers?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Context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the system maintain authoritative knowledge despite noisy community content?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Agent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runaway tool use terminate automatically?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Cloud model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routine service continue using local or deterministic fallback?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Coordinated account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Can the organization correlate behavior without relying on one identifier?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r w:rsidDel="00000000" w:rsidR="00000000" w:rsidRPr="00000000">
        <w:rPr>
          <w:rtl w:val="0"/>
        </w:rPr>
        <w:t xml:space="preserve">21. Twenty Design Principles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AI should handle high-volume, low-risk work by default.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Every agent should have bounded compute authority.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Every agent should have bounded tool authority.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Every public-facing agent should have an engagement governor.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High compute should trigger controls, not automatically trigger humans.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Human review must be treated as a finite operational resource.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Community content should not automatically become trusted knowledge.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Use the cheapest model capable of safely completing the task.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Separate reasoning from authorization.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Rate limits should be risk-based rather than one-size-fits-all.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Cross-account behavior matters more than any single identifier.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Self-hosted inference still has finite capacity.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Measure cost per successful resolution.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Measure human minutes per successful resolution.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Design for agent loops and retries.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16. </w:t>
      </w:r>
      <w:r w:rsidDel="00000000" w:rsidR="00000000" w:rsidRPr="00000000">
        <w:rPr>
          <w:rtl w:val="0"/>
        </w:rPr>
        <w:t xml:space="preserve">Use deterministic fail-down paths.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17. </w:t>
      </w:r>
      <w:r w:rsidDel="00000000" w:rsidR="00000000" w:rsidRPr="00000000">
        <w:rPr>
          <w:rtl w:val="0"/>
        </w:rPr>
        <w:t xml:space="preserve">Protect high-impact actions with stronger controls.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18. </w:t>
      </w:r>
      <w:r w:rsidDel="00000000" w:rsidR="00000000" w:rsidRPr="00000000">
        <w:rPr>
          <w:rtl w:val="0"/>
        </w:rPr>
        <w:t xml:space="preserve">Log decisions, tool calls and escalation reasons.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19. </w:t>
      </w:r>
      <w:r w:rsidDel="00000000" w:rsidR="00000000" w:rsidRPr="00000000">
        <w:rPr>
          <w:rtl w:val="0"/>
        </w:rPr>
        <w:t xml:space="preserve">Continuously test the system against adaptive abuse.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20. </w:t>
      </w:r>
      <w:r w:rsidDel="00000000" w:rsidR="00000000" w:rsidRPr="00000000">
        <w:rPr>
          <w:rtl w:val="0"/>
        </w:rPr>
        <w:t xml:space="preserve">Optimize for resilience, not maximum autonomy.</w:t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22. Conclusion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 central risk of social and customer-service agents is not that AI will become too intelligent. It is that organizations may give autonomous systems too much unbounded access to computational, technical and human resources.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most resilient architecture is therefore AI-first but bounded: cheap triage before expensive reasoning, risk-based model routing, explicit compute and tool budgets, trusted knowledge separation, protected human escalation, cross-account behavioral analysis and deterministic recovery paths.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Bottom line: The objective is not to stop every malicious interaction. The objective is to make abuse difficult to scale, economically unattractive and operationally containable while preserving legitimate AI innovation.</w:t>
      </w:r>
    </w:p>
    <w:p w:rsidR="00000000" w:rsidDel="00000000" w:rsidP="00000000" w:rsidRDefault="00000000" w:rsidRPr="00000000" w14:paraId="000001CE">
      <w:pPr>
        <w:pStyle w:val="Heading1"/>
        <w:rPr/>
      </w:pPr>
      <w:r w:rsidDel="00000000" w:rsidR="00000000" w:rsidRPr="00000000">
        <w:rPr>
          <w:rtl w:val="0"/>
        </w:rPr>
        <w:t xml:space="preserve">23. References and Further Reading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OWASP GenAI Security Project: LLM10:2025 Unbounded Consumption</w:t>
      </w:r>
      <w:r w:rsidDel="00000000" w:rsidR="00000000" w:rsidRPr="00000000">
        <w:rPr>
          <w:rtl w:val="0"/>
        </w:rPr>
        <w:br w:type="textWrapping"/>
        <w:t xml:space="preserve">https://genai.owasp.org/llmrisk/llm102025-unbounded-consumption/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OWASP GenAI Security Project: LLM06:2025 Excessive Agency</w:t>
      </w:r>
      <w:r w:rsidDel="00000000" w:rsidR="00000000" w:rsidRPr="00000000">
        <w:rPr>
          <w:rtl w:val="0"/>
        </w:rPr>
        <w:br w:type="textWrapping"/>
        <w:t xml:space="preserve">https://genai.owasp.org/llmrisk/llm062025-excessive-agency/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OWASP: Agentic AI Threats and Mitigations</w:t>
      </w:r>
      <w:r w:rsidDel="00000000" w:rsidR="00000000" w:rsidRPr="00000000">
        <w:rPr>
          <w:rtl w:val="0"/>
        </w:rPr>
        <w:br w:type="textWrapping"/>
        <w:t xml:space="preserve">https://genai.owasp.org/resource/agentic-ai-threats-and-mitigations/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NIST AI Risk Management Framework</w:t>
      </w:r>
      <w:r w:rsidDel="00000000" w:rsidR="00000000" w:rsidRPr="00000000">
        <w:rPr>
          <w:rtl w:val="0"/>
        </w:rPr>
        <w:br w:type="textWrapping"/>
        <w:t xml:space="preserve">https://www.nist.gov/itl/ai-risk-management-framework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NIST AI RMF Playbook</w:t>
      </w:r>
      <w:r w:rsidDel="00000000" w:rsidR="00000000" w:rsidRPr="00000000">
        <w:rPr>
          <w:rtl w:val="0"/>
        </w:rPr>
        <w:br w:type="textWrapping"/>
        <w:t xml:space="preserve">https://www.nist.gov/itl/ai-risk-management-framework/nist-ai-risk-management-framework-playbook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Cloudflare: Bot Management Reference Architecture</w:t>
      </w:r>
      <w:r w:rsidDel="00000000" w:rsidR="00000000" w:rsidRPr="00000000">
        <w:rPr>
          <w:rtl w:val="0"/>
        </w:rPr>
        <w:br w:type="textWrapping"/>
        <w:t xml:space="preserve">https://developers.cloudflare.com/reference-architecture/diagrams/bots/bot-management/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Cloudflare: Account Abuse Protection</w:t>
      </w:r>
      <w:r w:rsidDel="00000000" w:rsidR="00000000" w:rsidRPr="00000000">
        <w:rPr>
          <w:rtl w:val="0"/>
        </w:rPr>
        <w:br w:type="textWrapping"/>
        <w:t xml:space="preserve">https://developers.cloudflare.com/bots/account-abuse-protection/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Agentic AI Social &amp; Customer Service Resilience Playbook | v1.0 | August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rPr>
      <w:rFonts w:ascii="Arial" w:hAnsi="Arial"/>
      <w:b w:val="1"/>
      <w:sz w:val="2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U4llD4ZbCHMY2s+7m9FmwR0Cw==">CgMxLjAaJAoBMBIfCh0IB0IZCgVBcmlhbBIQQXJpYWwgVW5pY29kZSBNUzgAciExQUVCU3lHZkRZUE5PZ3BLS0JLNnpUVk1iVkQ5Uy1xYUs=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