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59" w:lineRule="auto"/>
        <w:ind w:firstLine="720"/>
        <w:jc w:val="center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jc w:val="center"/>
        <w:rPr>
          <w:rFonts w:ascii="Calibri" w:cs="Calibri" w:eastAsia="Calibri" w:hAnsi="Calibri"/>
          <w:smallCaps w:val="1"/>
          <w:color w:val="252525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525"/>
          <w:sz w:val="28"/>
          <w:szCs w:val="28"/>
          <w:highlight w:val="white"/>
          <w:rtl w:val="0"/>
        </w:rPr>
        <w:t xml:space="preserve">Федеральное государственное бюджетное образовательное </w:t>
        <w:br w:type="textWrapping"/>
        <w:t xml:space="preserve">учреждение высшего образования</w:t>
        <w:br w:type="textWrapping"/>
      </w:r>
      <w:r w:rsidDel="00000000" w:rsidR="00000000" w:rsidRPr="00000000">
        <w:rPr>
          <w:rFonts w:ascii="Calibri" w:cs="Calibri" w:eastAsia="Calibri" w:hAnsi="Calibri"/>
          <w:smallCaps w:val="1"/>
          <w:color w:val="252525"/>
          <w:sz w:val="32"/>
          <w:szCs w:val="32"/>
          <w:highlight w:val="white"/>
          <w:rtl w:val="0"/>
        </w:rPr>
        <w:t xml:space="preserve">«Новосибирский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jc w:val="center"/>
        <w:rPr>
          <w:rFonts w:ascii="Calibri" w:cs="Calibri" w:eastAsia="Calibri" w:hAnsi="Calibri"/>
          <w:color w:val="252525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525"/>
          <w:sz w:val="28"/>
          <w:szCs w:val="28"/>
          <w:highlight w:val="white"/>
          <w:rtl w:val="0"/>
        </w:rPr>
        <w:t xml:space="preserve">Кафедра теоретической и прикладной информатики </w:t>
      </w:r>
    </w:p>
    <w:p w:rsidR="00000000" w:rsidDel="00000000" w:rsidP="00000000" w:rsidRDefault="00000000" w:rsidRPr="00000000" w14:paraId="0000000B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jc w:val="center"/>
        <w:rPr>
          <w:rFonts w:ascii="Calibri" w:cs="Calibri" w:eastAsia="Calibri" w:hAnsi="Calibri"/>
          <w:color w:val="252525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525"/>
          <w:sz w:val="28"/>
          <w:szCs w:val="28"/>
          <w:highlight w:val="white"/>
          <w:rtl w:val="0"/>
        </w:rPr>
        <w:t xml:space="preserve">Проектная деятельность</w:t>
        <w:br w:type="textWrapping"/>
        <w:t xml:space="preserve">«Моделирование когнитивных процессов на основе машинного обучения и анализа психометрических и нейрофизиологических данных»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39.0" w:type="dxa"/>
        <w:jc w:val="center"/>
        <w:tblLayout w:type="fixed"/>
        <w:tblLook w:val="0000"/>
      </w:tblPr>
      <w:tblGrid>
        <w:gridCol w:w="1662"/>
        <w:gridCol w:w="2126"/>
        <w:gridCol w:w="3851"/>
        <w:tblGridChange w:id="0">
          <w:tblGrid>
            <w:gridCol w:w="1662"/>
            <w:gridCol w:w="2126"/>
            <w:gridCol w:w="385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Факультет: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ПМИ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Группа:</w:t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Студент: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ПМ-92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Иванов В.В.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Преподаватель: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Авдеенко Т.В.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Новосибирск</w:t>
      </w:r>
    </w:p>
    <w:p w:rsidR="00000000" w:rsidDel="00000000" w:rsidP="00000000" w:rsidRDefault="00000000" w:rsidRPr="00000000" w14:paraId="00000022">
      <w:pPr>
        <w:pageBreakBefore w:val="0"/>
        <w:spacing w:after="160" w:line="259" w:lineRule="auto"/>
        <w:jc w:val="center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044"/>
        </w:tabs>
        <w:spacing w:line="259" w:lineRule="auto"/>
        <w:ind w:left="0" w:firstLine="0"/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40" w:lineRule="auto"/>
        <w:jc w:val="left"/>
        <w:rPr>
          <w:b w:val="1"/>
          <w:sz w:val="34"/>
          <w:szCs w:val="34"/>
        </w:rPr>
      </w:pPr>
      <w:bookmarkStart w:colFirst="0" w:colLast="0" w:name="_heading=h.o0l3yy1i72j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Цель исследования - выявление и анализ факторов, влияющих на успеваемость студентов и построение модели, способной классифицировать новые данные.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 качестве набора данных используются результаты психологического тестирования потока ПМ-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8x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проведенные в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2020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году.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4"/>
          <w:szCs w:val="3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Мы рассмотрим пять целевых признаков - средний балл по математическим дисциплинам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), средний балл по прикладным дисциплинам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), средний балл по гуманитарным дисциплинам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), средний балл по всем дисциплинам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 и категория успеваемости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классификации будем использовать две модели, входящие в библиотеку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scikit-learn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дерево решений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tree.DecisionTreeClassifier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 и случайный лес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ensemble.RandomForestClassifier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240" w:lineRule="auto"/>
        <w:jc w:val="left"/>
        <w:rPr>
          <w:b w:val="1"/>
          <w:sz w:val="34"/>
          <w:szCs w:val="34"/>
        </w:rPr>
      </w:pPr>
      <w:bookmarkStart w:colFirst="0" w:colLast="0" w:name="_heading=h.ocamuqtystx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Анализ и обработка данных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работы импортируем следующие модули, классы и методы: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color w:val="dc143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rtl w:val="0"/>
        </w:rPr>
        <w:t xml:space="preserve">warnings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sklearn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tree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matplotlib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pyplot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sklearn.tree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DecisionTreeClassifier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classification_report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sklearn.model_selection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train_test_split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sklearn.ensemble </w:t>
      </w: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RandomForestClassifier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color w:val="ff77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Первым шагом является чтение данных. Поместим их в два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датафрейма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для предикторов и целевой переменной. Выберем в качестве целевой переменной средний балл по всем дисциплинам: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044"/>
        </w:tabs>
        <w:spacing w:line="259" w:lineRule="auto"/>
        <w:ind w:left="720" w:firstLine="0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pd.DataFrame(pd.read_csv(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highlight w:val="white"/>
          <w:rtl w:val="0"/>
        </w:rPr>
        <w:t xml:space="preserve">'intelligence_tests.csv'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044"/>
        </w:tabs>
        <w:spacing w:line="259" w:lineRule="auto"/>
        <w:ind w:left="720" w:firstLine="0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044"/>
        </w:tabs>
        <w:spacing w:line="259" w:lineRule="auto"/>
        <w:ind w:left="720" w:firstLine="0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df.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highlight w:val="whit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().drop([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highlight w:val="white"/>
          <w:rtl w:val="0"/>
        </w:rPr>
        <w:t xml:space="preserve">'avg'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axis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044"/>
        </w:tabs>
        <w:spacing w:line="259" w:lineRule="auto"/>
        <w:ind w:left="720" w:firstLine="0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df.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highlight w:val="whit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highlight w:val="white"/>
          <w:rtl w:val="0"/>
        </w:rPr>
        <w:t xml:space="preserve">'avg'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Заменим все значения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NaN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средними по столбцу: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044"/>
        </w:tabs>
        <w:spacing w:line="259" w:lineRule="auto"/>
        <w:ind w:left="720" w:firstLine="0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X.fillna(np.mean(X)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inplace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044"/>
        </w:tabs>
        <w:spacing w:line="259" w:lineRule="auto"/>
        <w:ind w:left="720" w:firstLine="0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y.fillna(np.mean(y)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inplace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853113" cy="1161618"/>
            <wp:effectExtent b="0" l="0" r="0" t="0"/>
            <wp:docPr id="4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161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Изучим целевые переменные. Для этого изобразим данные в виде гистограммы: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fig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plt.figure(figsize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plt.hist(y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edgecolor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bins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plt.axvline(y.median()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color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'grey'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linestyle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'dashed'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linewidth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label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'Median'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plt.axvline(y.mean()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color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linewidth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label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'Mean'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plt.legend(loc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'upper left'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prop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'size'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plt.xticks([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plt.yticks([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plt.grid(color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'grey'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alpha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zorder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'avg'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044"/>
        </w:tabs>
        <w:spacing w:line="259" w:lineRule="auto"/>
        <w:ind w:left="0" w:firstLine="0"/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highlight w:val="white"/>
        </w:rPr>
        <w:drawing>
          <wp:inline distB="114300" distT="114300" distL="114300" distR="114300">
            <wp:extent cx="5638800" cy="459105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Аналогично создадим переменные для признаков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заполним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пропущенные значения: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y1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df.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'avgmath'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y2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df.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'avgprog'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y3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df.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'avghum'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y1.fillna(np.mean(y1)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inplace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y2.fillna(np.mean(y2)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inplace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y3.fillna(np.mean(y3)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inplace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Изобразим гистограммы: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89076" cy="3824288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076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91063" cy="3813258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13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72013" cy="3811622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81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Примечательны следующие наблюдения. Во-первых, самый низкий средний балл наблюдается на первом графике, что говорит, вероятно, об относительной сложности математических дисциплин.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Во-вторых, плотность распределения на втором графике непрерывно возрастает в зависимости от среднего балла по прикладным дисциплинам. Это может быть связано с двумя факторами: характером оценивания подобных дисциплин (как правило, такие курсы разделены на большое количество практических работ, благодаря чему преподаватель имеет возможность оценить студента довольно точно) и доступности (подавляющее большинство подобных дисциплин не требует математических навыков, поэтому большое количество студентов имеет высокий балл).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Наконец, плотность распределения на третьем графике обладает заметно меньшей дисперсией, что может указывать на относительную простоту гуманитарных дисциплин (график плотности смещается вправо к центру) и в то же время на пренебрежительное отношение гуманитарными дисциплинами среди тех, кто учится на высокий балл (график плотности смещается влево к центру). Последний факт можно связать с тем, что студенты стараются уделять больше времени более важным, профильным предметам, а также с тем, что большинство гуманитарных дисциплин на факультете прикладной математики и информатики оцениваются без выставления баллов (недифференцированный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зачёт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 и, следовательно, не влияют на рейтинг студента и наличие стипендии.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Теперь во всех целевых переменных разделим средний балл на категории, соответствующие следующим оценкам: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≥ 93 -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≥ 83 -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≥ 73 -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≥ 63 -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≥ 50 -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 50 -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Распределение студентов по категориям для разных целевых переменных: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209550</wp:posOffset>
            </wp:positionV>
            <wp:extent cx="1409700" cy="1695450"/>
            <wp:effectExtent b="0" l="0" r="0" t="0"/>
            <wp:wrapNone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2995613</wp:posOffset>
            </wp:positionH>
            <wp:positionV relativeFrom="paragraph">
              <wp:posOffset>247650</wp:posOffset>
            </wp:positionV>
            <wp:extent cx="1371600" cy="1657350"/>
            <wp:effectExtent b="0" l="0" r="0" t="0"/>
            <wp:wrapNone/>
            <wp:docPr id="4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247650</wp:posOffset>
            </wp:positionV>
            <wp:extent cx="1247775" cy="1619250"/>
            <wp:effectExtent b="0" l="0" r="0" t="0"/>
            <wp:wrapNone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280988</wp:posOffset>
            </wp:positionV>
            <wp:extent cx="952500" cy="1419225"/>
            <wp:effectExtent b="0" l="0" r="0" t="0"/>
            <wp:wrapNone/>
            <wp:docPr id="3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Далее необходимо проанализировать предикторы. Для выявления зависимостей довольно удобным способом является построение таблицы корреляции Пирсона с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её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последующей визуализацией: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fig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plt.figure(figsize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sns.heatmap((pd.concat([X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'avg'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axis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)).corr())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033963" cy="4250706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250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Результат визуализации показывает, в частности, наличие относительно сильной корреляции между значением коэффициента интеллекта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IQ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 и средним баллом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 Однако особый интерес вызывает категориальный признак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содержащий информацию о наличии академических задолженностей у студента: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студент не имеет академических задолженностей 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студент имел не более двух академических задолженностей и ликвидировал их в первые две недели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студент имеет академическую задолженность или имел более двух академических задолженностей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признак подробнее. Для этого изобразим график, на котором по осям X отложим значения признака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а по осям Y - средний балл 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fig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plt.figure(figsize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plt.grid(color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'grey'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alpha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zorder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plt.scatter(df[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'avg'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edgecolor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zorder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plt.xticks([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plt.yticks([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'grade'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72150" cy="4610100"/>
            <wp:effectExtent b="0" l="0" r="0" t="0"/>
            <wp:docPr id="4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Из графика становится очевидной взаимосвязь между наличием академических задолженностей и средним баллом. Заметим, что в категорию студентов без задолженностей попали все, кто имеет среднюю оценку “хорошо” или выше.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Аналогичным образом построим графики для целевых переменных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соответственно: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548891" cy="2814638"/>
            <wp:effectExtent b="0" l="0" r="0" t="0"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891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595688" cy="2855136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85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614738" cy="2862314"/>
            <wp:effectExtent b="0" l="0" r="0" t="0"/>
            <wp:docPr id="4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862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Вполне ожидаемым результатом визуализации является больший разброс объектов выборки.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line="240" w:lineRule="auto"/>
        <w:jc w:val="left"/>
        <w:rPr>
          <w:b w:val="1"/>
          <w:sz w:val="34"/>
          <w:szCs w:val="34"/>
        </w:rPr>
      </w:pPr>
      <w:bookmarkStart w:colFirst="0" w:colLast="0" w:name="_heading=h.4r9bkpfotuc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Построение модели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Обучим дерево решений, используя в качестве предиктора признак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Для представления категориальных признаков в численном виде воспользуемся аналогом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One-Hot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кодирования в библиотеке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pandas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X1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pd.get_dummies(X[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prefix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338604" cy="2805113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604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Разобьем выборку на тренировочную (для обучения модели) и тестовую (для оценивания модели), обучим дерево решений и сделаем на основе этой модели предсказания: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X_test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y_test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train_test_split(X1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train_size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test_size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DecisionTreeClassifier().fit(X_train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y_train)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y_pred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model.predict(X_test)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Выведем результат: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(classification_report(y_test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y_pred))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fig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plt.figure(figsize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tree.plot_tree(model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feature_names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X1.columns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filled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961606" cy="1919288"/>
            <wp:effectExtent b="0" l="0" r="0" t="0"/>
            <wp:docPr id="4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606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976813" cy="3889570"/>
            <wp:effectExtent b="0" l="0" r="0" t="0"/>
            <wp:docPr id="4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88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Модель показала довольно плохую точность на тестовой выборке - всего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39%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объектов были классифицированы правильно.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Добавим теперь уже упомянутый предиктор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IQ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и аналогично оценим новую модель: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X2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pd.get_dummies(X[[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'IQ'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prefix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77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modelVis(model):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plt.figure(figsize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color w:val="ff45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x_min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x_max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y_min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y_max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X.iloc[: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X.iloc[: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X.iloc[: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X.iloc[: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xx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yy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np.meshgrid(np.arange(x_min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x_max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np.arange(y_min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y_max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Z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model.predict(np.c_[xx.ravel()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yy.ravel()]).reshape(xx.shape)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cs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plt.contourf(xx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yy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Z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cmap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'Blues'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plt.scatter(X.iloc[: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X.iloc[: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y)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899030" cy="3214688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03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На изображении показано, как дерево решений отделяет объекты выборки при обучении модели.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Эта модель всё ещё остается довольно примитивной. Её точность на тестовой выборке составила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43%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852863" cy="1848642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84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Теперь воспользуемся ансамблевым методом, называемым случайным лесом. Для начала обучим модели на признаках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RandomForestClassifier(n_estimators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criterion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'entropy'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).fit(X_train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y_train)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938588" cy="1740537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74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027399" cy="1728788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399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042539" cy="1776413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539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По результатам можно убедиться, что наибольший вклад в успеваемость студента вносят математические дисциплины, наименьший - гуманитарные.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Теперь обучим модели на предикторе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используя в качестве целевых переменных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X6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pd.get_dummies(X[[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X_test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y_test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train_test_split(X6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train_size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test_size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890314" cy="1871663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314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852863" cy="1582060"/>
            <wp:effectExtent b="0" l="0" r="0" t="0"/>
            <wp:docPr id="4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58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919538" cy="1727254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72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Нам осталось рассмотреть в качестве целевого признака переменную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df.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().drop([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axis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df.</w:t>
      </w:r>
      <w:r w:rsidDel="00000000" w:rsidR="00000000" w:rsidRPr="00000000">
        <w:rPr>
          <w:rFonts w:ascii="Consolas" w:cs="Consolas" w:eastAsia="Consolas" w:hAnsi="Consolas"/>
          <w:b w:val="1"/>
          <w:color w:val="dc143c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X.fillna(np.mean(X)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inplace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y.fillna(np.mean(y)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inplace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y.value_counts()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166938" cy="740953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74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 качестве предикторов будем использовать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X7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X[[</w:t>
      </w:r>
      <w:r w:rsidDel="00000000" w:rsidR="00000000" w:rsidRPr="00000000">
        <w:rPr>
          <w:rFonts w:ascii="Consolas" w:cs="Consolas" w:eastAsia="Consolas" w:hAnsi="Consolas"/>
          <w:b w:val="1"/>
          <w:color w:val="483d8b"/>
          <w:sz w:val="20"/>
          <w:szCs w:val="20"/>
          <w:rtl w:val="0"/>
        </w:rPr>
        <w:t xml:space="preserve">'avg'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X_test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y_test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train_test_split(X1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train_size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test_size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RandomForestClassifier(n_estimators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45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).fit(X_train</w:t>
      </w:r>
      <w:r w:rsidDel="00000000" w:rsidR="00000000" w:rsidRPr="00000000">
        <w:rPr>
          <w:rFonts w:ascii="Consolas" w:cs="Consolas" w:eastAsia="Consolas" w:hAnsi="Consolas"/>
          <w:b w:val="1"/>
          <w:color w:val="66cc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y_train)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536785" cy="1385888"/>
            <wp:effectExtent b="0" l="0" r="0" t="0"/>
            <wp:docPr id="3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785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avgmath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548063" cy="1385671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385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avgprog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500438" cy="1357187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35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avghum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</w:rPr>
        <w:drawing>
          <wp:inline distB="114300" distT="114300" distL="114300" distR="114300">
            <wp:extent cx="3576638" cy="1403973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403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line="240" w:lineRule="auto"/>
        <w:jc w:val="left"/>
        <w:rPr>
          <w:b w:val="1"/>
          <w:sz w:val="34"/>
          <w:szCs w:val="34"/>
        </w:rPr>
      </w:pPr>
      <w:bookmarkStart w:colFirst="0" w:colLast="0" w:name="_heading=h.qdgie9vooy0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Выводы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 ходе исследования были получены следующие результаты: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Выявлена зависимость между наличием академических задолженностей и средней оценкой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Обнаружено, что наибольший вклад в средний рейтинг студента вносят математические дисциплины, в то время как наименьший - гуманитарные дисциплины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Обнаружено, что наиболее вероятным фактором наличия академических задолженностей является низкая успеваемость по математическим дисциплинам, в том время как наименее вероятным - низкая успеваемость по гуманитарным дисциплинам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Построена простейшая модель классификации, способная предсказывать ответы на основе новых данных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7" w:type="default"/>
      <w:pgSz w:h="16838" w:w="11906" w:orient="portrait"/>
      <w:pgMar w:bottom="720" w:top="720" w:left="144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center"/>
    </w:pPr>
    <w:rPr>
      <w:rFonts w:ascii="Calibri" w:cs="Calibri" w:eastAsia="Calibri" w:hAnsi="Calibri"/>
      <w:color w:val="000000"/>
      <w:sz w:val="36"/>
      <w:szCs w:val="36"/>
      <w:highlight w:val="white"/>
    </w:rPr>
  </w:style>
  <w:style w:type="paragraph" w:styleId="Heading2">
    <w:name w:val="heading 2"/>
    <w:basedOn w:val="Normal"/>
    <w:next w:val="Normal"/>
    <w:pPr>
      <w:spacing w:after="160" w:line="259" w:lineRule="auto"/>
      <w:jc w:val="center"/>
    </w:pPr>
    <w:rPr>
      <w:rFonts w:ascii="Calibri" w:cs="Calibri" w:eastAsia="Calibri" w:hAnsi="Calibri"/>
      <w:color w:val="252525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59" w:lineRule="auto"/>
      <w:jc w:val="center"/>
    </w:pPr>
    <w:rPr>
      <w:rFonts w:ascii="Calibri" w:cs="Calibri" w:eastAsia="Calibri" w:hAnsi="Calibri"/>
      <w:color w:val="000000"/>
      <w:sz w:val="36"/>
      <w:szCs w:val="36"/>
      <w:highlight w:val="white"/>
    </w:rPr>
  </w:style>
  <w:style w:type="paragraph" w:styleId="Heading2">
    <w:name w:val="heading 2"/>
    <w:basedOn w:val="Normal"/>
    <w:next w:val="Normal"/>
    <w:pPr>
      <w:pageBreakBefore w:val="0"/>
      <w:spacing w:after="160" w:line="259" w:lineRule="auto"/>
      <w:jc w:val="center"/>
    </w:pPr>
    <w:rPr>
      <w:rFonts w:ascii="Calibri" w:cs="Calibri" w:eastAsia="Calibri" w:hAnsi="Calibri"/>
      <w:color w:val="252525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widowControl w:val="1"/>
    </w:pPr>
  </w:style>
  <w:style w:type="paragraph" w:styleId="1">
    <w:name w:val="heading 1"/>
    <w:basedOn w:val="a"/>
    <w:next w:val="a"/>
    <w:link w:val="10"/>
    <w:uiPriority w:val="9"/>
    <w:qFormat w:val="1"/>
    <w:rsid w:val="002B2FBB"/>
    <w:pPr>
      <w:keepNext w:val="1"/>
      <w:keepLines w:val="1"/>
      <w:suppressAutoHyphens w:val="0"/>
      <w:autoSpaceDN w:val="1"/>
      <w:spacing w:before="240" w:line="259" w:lineRule="auto"/>
      <w:jc w:val="center"/>
      <w:textAlignment w:val="auto"/>
      <w:outlineLvl w:val="0"/>
    </w:pPr>
    <w:rPr>
      <w:rFonts w:ascii="Calibri Light" w:cs="Times New Roman" w:eastAsia="Times New Roman" w:hAnsi="Calibri Light"/>
      <w:color w:val="auto"/>
      <w:kern w:val="0"/>
      <w:sz w:val="36"/>
      <w:szCs w:val="32"/>
      <w:shd w:color="auto" w:fill="ffffff" w:val="clear"/>
      <w:lang w:bidi="ar-SA" w:val="x-none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B2FBB"/>
    <w:pPr>
      <w:suppressAutoHyphens w:val="0"/>
      <w:autoSpaceDN w:val="1"/>
      <w:spacing w:after="160" w:line="259" w:lineRule="auto"/>
      <w:contextualSpacing w:val="1"/>
      <w:jc w:val="center"/>
      <w:textAlignment w:val="auto"/>
      <w:outlineLvl w:val="1"/>
    </w:pPr>
    <w:rPr>
      <w:rFonts w:ascii="Calibri Light" w:cs="Times New Roman" w:eastAsia="Calibri" w:hAnsi="Calibri Light"/>
      <w:color w:val="252525"/>
      <w:kern w:val="0"/>
      <w:sz w:val="28"/>
      <w:shd w:color="auto" w:fill="ffffff" w:val="clear"/>
      <w:lang w:bidi="ar-SA" w:val="x-no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character" w:styleId="NumberingSymbols" w:customStyle="1">
    <w:name w:val="Numbering Symbols"/>
  </w:style>
  <w:style w:type="paragraph" w:styleId="a3">
    <w:name w:val="header"/>
    <w:basedOn w:val="a"/>
    <w:link w:val="a4"/>
    <w:uiPriority w:val="99"/>
    <w:unhideWhenUsed w:val="1"/>
    <w:rsid w:val="00AC0FA7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 w:val="1"/>
    <w:rsid w:val="00AC0FA7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AC0FA7"/>
  </w:style>
  <w:style w:type="paragraph" w:styleId="a7" w:customStyle="1">
    <w:name w:val="заголовок"/>
    <w:basedOn w:val="a"/>
    <w:link w:val="a8"/>
    <w:qFormat w:val="1"/>
    <w:rsid w:val="00AC0FA7"/>
    <w:pPr>
      <w:ind w:firstLine="465"/>
    </w:pPr>
    <w:rPr>
      <w:b w:val="1"/>
    </w:rPr>
  </w:style>
  <w:style w:type="paragraph" w:styleId="a9" w:customStyle="1">
    <w:name w:val="задание"/>
    <w:basedOn w:val="a"/>
    <w:link w:val="aa"/>
    <w:qFormat w:val="1"/>
    <w:rsid w:val="00AC0FA7"/>
    <w:pPr>
      <w:jc w:val="both"/>
    </w:pPr>
    <w:rPr>
      <w:sz w:val="22"/>
      <w:u w:val="single"/>
    </w:rPr>
  </w:style>
  <w:style w:type="character" w:styleId="a8" w:customStyle="1">
    <w:name w:val="заголовок Знак"/>
    <w:basedOn w:val="a0"/>
    <w:link w:val="a7"/>
    <w:rsid w:val="00AC0FA7"/>
    <w:rPr>
      <w:b w:val="1"/>
    </w:rPr>
  </w:style>
  <w:style w:type="paragraph" w:styleId="ab" w:customStyle="1">
    <w:name w:val="терминал"/>
    <w:basedOn w:val="a"/>
    <w:link w:val="ac"/>
    <w:qFormat w:val="1"/>
    <w:rsid w:val="00AC0FA7"/>
    <w:rPr>
      <w:rFonts w:ascii="Consolas" w:cs="Consolas" w:hAnsi="Consolas"/>
      <w:sz w:val="18"/>
      <w:szCs w:val="18"/>
      <w:lang w:val="en-US"/>
    </w:rPr>
  </w:style>
  <w:style w:type="character" w:styleId="aa" w:customStyle="1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 w:val="1"/>
    <w:rsid w:val="00AC0FA7"/>
    <w:pPr>
      <w:widowControl w:val="1"/>
    </w:pPr>
  </w:style>
  <w:style w:type="character" w:styleId="ac" w:customStyle="1">
    <w:name w:val="терминал Знак"/>
    <w:basedOn w:val="a0"/>
    <w:link w:val="ab"/>
    <w:rsid w:val="00AC0FA7"/>
    <w:rPr>
      <w:rFonts w:ascii="Consolas" w:cs="Consolas" w:hAnsi="Consolas"/>
      <w:sz w:val="18"/>
      <w:szCs w:val="18"/>
      <w:lang w:val="en-US"/>
    </w:rPr>
  </w:style>
  <w:style w:type="character" w:styleId="10" w:customStyle="1">
    <w:name w:val="Заголовок 1 Знак"/>
    <w:basedOn w:val="a0"/>
    <w:link w:val="1"/>
    <w:uiPriority w:val="9"/>
    <w:rsid w:val="002B2FBB"/>
    <w:rPr>
      <w:rFonts w:ascii="Calibri Light" w:cs="Times New Roman" w:eastAsia="Times New Roman" w:hAnsi="Calibri Light"/>
      <w:color w:val="auto"/>
      <w:kern w:val="0"/>
      <w:sz w:val="36"/>
      <w:szCs w:val="32"/>
      <w:lang w:bidi="ar-SA" w:val="x-none"/>
    </w:rPr>
  </w:style>
  <w:style w:type="character" w:styleId="20" w:customStyle="1">
    <w:name w:val="Заголовок 2 Знак"/>
    <w:basedOn w:val="a0"/>
    <w:link w:val="2"/>
    <w:uiPriority w:val="9"/>
    <w:rsid w:val="002B2FBB"/>
    <w:rPr>
      <w:rFonts w:ascii="Calibri Light" w:cs="Times New Roman" w:eastAsia="Calibri" w:hAnsi="Calibri Light"/>
      <w:color w:val="252525"/>
      <w:kern w:val="0"/>
      <w:sz w:val="28"/>
      <w:lang w:bidi="ar-SA" w:val="x-none"/>
    </w:rPr>
  </w:style>
  <w:style w:type="character" w:styleId="ae" w:customStyle="1">
    <w:name w:val="Малые прописные"/>
    <w:uiPriority w:val="1"/>
    <w:rsid w:val="002B2FBB"/>
    <w:rPr>
      <w:smallCaps w:val="1"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 w:val="1"/>
      <w:ind w:left="2592" w:hanging="1872"/>
      <w:textAlignment w:val="auto"/>
    </w:pPr>
    <w:rPr>
      <w:rFonts w:ascii="Courier New" w:cs="Times New Roman" w:eastAsia="Times New Roman" w:hAnsi="Courier New"/>
      <w:snapToGrid w:val="0"/>
      <w:color w:val="auto"/>
      <w:kern w:val="0"/>
      <w:szCs w:val="20"/>
      <w:lang w:bidi="ar-SA" w:eastAsia="ru-RU"/>
    </w:rPr>
  </w:style>
  <w:style w:type="character" w:styleId="af0" w:customStyle="1">
    <w:name w:val="Основной текст с отступом Знак"/>
    <w:basedOn w:val="a0"/>
    <w:link w:val="af"/>
    <w:rsid w:val="00E55570"/>
    <w:rPr>
      <w:rFonts w:ascii="Courier New" w:cs="Times New Roman" w:eastAsia="Times New Roman" w:hAnsi="Courier New"/>
      <w:snapToGrid w:val="0"/>
      <w:color w:val="auto"/>
      <w:kern w:val="0"/>
      <w:szCs w:val="20"/>
      <w:lang w:bidi="ar-SA" w:eastAsia="ru-RU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DA6AA8"/>
    <w:rPr>
      <w:rFonts w:ascii="Segoe UI" w:cs="Segoe UI" w:hAnsi="Segoe UI"/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DA6AA8"/>
    <w:rPr>
      <w:rFonts w:ascii="Segoe UI" w:cs="Segoe UI" w:hAnsi="Segoe UI"/>
      <w:sz w:val="18"/>
      <w:szCs w:val="18"/>
    </w:rPr>
  </w:style>
  <w:style w:type="paragraph" w:styleId="af3">
    <w:name w:val="List Paragraph"/>
    <w:basedOn w:val="a"/>
    <w:uiPriority w:val="34"/>
    <w:qFormat w:val="1"/>
    <w:rsid w:val="007A54B2"/>
    <w:pPr>
      <w:ind w:left="720"/>
      <w:contextualSpacing w:val="1"/>
    </w:pPr>
  </w:style>
  <w:style w:type="paragraph" w:styleId="af4">
    <w:name w:val="Body Text"/>
    <w:basedOn w:val="a"/>
    <w:link w:val="af5"/>
    <w:uiPriority w:val="99"/>
    <w:semiHidden w:val="1"/>
    <w:unhideWhenUsed w:val="1"/>
    <w:rsid w:val="00BD222F"/>
    <w:pPr>
      <w:spacing w:after="120"/>
    </w:pPr>
  </w:style>
  <w:style w:type="character" w:styleId="af5" w:customStyle="1">
    <w:name w:val="Основной текст Знак"/>
    <w:basedOn w:val="a0"/>
    <w:link w:val="af4"/>
    <w:uiPriority w:val="99"/>
    <w:semiHidden w:val="1"/>
    <w:rsid w:val="00BD222F"/>
  </w:style>
  <w:style w:type="paragraph" w:styleId="af6">
    <w:name w:val="Plain Text"/>
    <w:basedOn w:val="a"/>
    <w:link w:val="af7"/>
    <w:rsid w:val="00BD222F"/>
    <w:pPr>
      <w:suppressAutoHyphens w:val="0"/>
      <w:autoSpaceDN w:val="1"/>
      <w:textAlignment w:val="auto"/>
    </w:pPr>
    <w:rPr>
      <w:rFonts w:ascii="Courier New" w:cs="Times New Roman" w:eastAsia="Times New Roman" w:hAnsi="Courier New"/>
      <w:color w:val="auto"/>
      <w:kern w:val="0"/>
      <w:sz w:val="20"/>
      <w:szCs w:val="20"/>
      <w:lang w:bidi="ar-SA" w:eastAsia="ru-RU"/>
    </w:rPr>
  </w:style>
  <w:style w:type="character" w:styleId="af7" w:customStyle="1">
    <w:name w:val="Текст Знак"/>
    <w:basedOn w:val="a0"/>
    <w:link w:val="af6"/>
    <w:rsid w:val="00BD222F"/>
    <w:rPr>
      <w:rFonts w:ascii="Courier New" w:cs="Times New Roman" w:eastAsia="Times New Roman" w:hAnsi="Courier New"/>
      <w:color w:val="auto"/>
      <w:kern w:val="0"/>
      <w:sz w:val="20"/>
      <w:szCs w:val="20"/>
      <w:lang w:bidi="ar-SA" w:eastAsia="ru-RU"/>
    </w:rPr>
  </w:style>
  <w:style w:type="character" w:styleId="af8">
    <w:name w:val="Strong"/>
    <w:basedOn w:val="a0"/>
    <w:uiPriority w:val="22"/>
    <w:qFormat w:val="1"/>
    <w:rsid w:val="00A515CE"/>
    <w:rPr>
      <w:b w:val="1"/>
      <w:bCs w:val="1"/>
    </w:rPr>
  </w:style>
  <w:style w:type="table" w:styleId="af9">
    <w:name w:val="Table Grid"/>
    <w:basedOn w:val="a1"/>
    <w:rsid w:val="007B019B"/>
    <w:pPr>
      <w:widowControl w:val="1"/>
      <w:suppressAutoHyphens w:val="0"/>
      <w:autoSpaceDN w:val="1"/>
      <w:textAlignment w:val="auto"/>
    </w:pPr>
    <w:rPr>
      <w:rFonts w:cs="Times New Roman" w:eastAsia="Times New Roman"/>
      <w:color w:val="auto"/>
      <w:kern w:val="0"/>
      <w:sz w:val="20"/>
      <w:szCs w:val="20"/>
      <w:lang w:bidi="ar-SA"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horttext" w:customStyle="1">
    <w:name w:val="short_text"/>
    <w:basedOn w:val="a0"/>
    <w:rsid w:val="00724CD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10.png"/><Relationship Id="rId24" Type="http://schemas.openxmlformats.org/officeDocument/2006/relationships/image" Target="media/image20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3.png"/><Relationship Id="rId25" Type="http://schemas.openxmlformats.org/officeDocument/2006/relationships/image" Target="media/image11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27.png"/><Relationship Id="rId8" Type="http://schemas.openxmlformats.org/officeDocument/2006/relationships/image" Target="media/image5.png"/><Relationship Id="rId31" Type="http://schemas.openxmlformats.org/officeDocument/2006/relationships/image" Target="media/image18.png"/><Relationship Id="rId30" Type="http://schemas.openxmlformats.org/officeDocument/2006/relationships/image" Target="media/image22.png"/><Relationship Id="rId11" Type="http://schemas.openxmlformats.org/officeDocument/2006/relationships/image" Target="media/image2.png"/><Relationship Id="rId33" Type="http://schemas.openxmlformats.org/officeDocument/2006/relationships/image" Target="media/image25.png"/><Relationship Id="rId10" Type="http://schemas.openxmlformats.org/officeDocument/2006/relationships/image" Target="media/image7.png"/><Relationship Id="rId32" Type="http://schemas.openxmlformats.org/officeDocument/2006/relationships/image" Target="media/image4.png"/><Relationship Id="rId13" Type="http://schemas.openxmlformats.org/officeDocument/2006/relationships/image" Target="media/image30.png"/><Relationship Id="rId35" Type="http://schemas.openxmlformats.org/officeDocument/2006/relationships/image" Target="media/image16.png"/><Relationship Id="rId12" Type="http://schemas.openxmlformats.org/officeDocument/2006/relationships/image" Target="media/image15.png"/><Relationship Id="rId34" Type="http://schemas.openxmlformats.org/officeDocument/2006/relationships/image" Target="media/image19.png"/><Relationship Id="rId15" Type="http://schemas.openxmlformats.org/officeDocument/2006/relationships/image" Target="media/image23.png"/><Relationship Id="rId37" Type="http://schemas.openxmlformats.org/officeDocument/2006/relationships/footer" Target="footer1.xml"/><Relationship Id="rId14" Type="http://schemas.openxmlformats.org/officeDocument/2006/relationships/image" Target="media/image6.png"/><Relationship Id="rId36" Type="http://schemas.openxmlformats.org/officeDocument/2006/relationships/image" Target="media/image12.png"/><Relationship Id="rId17" Type="http://schemas.openxmlformats.org/officeDocument/2006/relationships/image" Target="media/image24.png"/><Relationship Id="rId16" Type="http://schemas.openxmlformats.org/officeDocument/2006/relationships/image" Target="media/image13.png"/><Relationship Id="rId19" Type="http://schemas.openxmlformats.org/officeDocument/2006/relationships/image" Target="media/image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8E2H9psrrKxlB8H2UNOTYvDkw==">AMUW2mV2bBPilC+pJ9JdRHGsB0ti4H+nLh1C6LEaHRCS1Dowp21ucvI1McxRbLsTwBOwdiJugz8jXxeEFKxbYiT50Bb4MdpOFJjJGvqikfs8j0G6U773AqAiQqlzS8J2CmVXIdGnPZ6WZ6EX6TGfC+ozSbKNBnMAAIv05CE7dw/NGbgiz6Kdygdm2TRoxfDxJL4ZdnVveNeu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2012-02-26T04:57:00Z</dcterms:created>
  <dc:creator>Peter</dc:creator>
</cp:coreProperties>
</file>