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Table 1: GEAR Targets versus Actual Performance, 1996–2000</w:t>
      </w:r>
    </w:p>
    <w:p>
      <w:pPr>
        <w:jc w:val="center"/>
      </w:pPr>
      <w:r>
        <w:rPr>
          <w:i/>
          <w:sz w:val="18"/>
        </w:rPr>
        <w:t>Format after Nattrass, N. (2001) 'High Productivity Now', Table 1, 'GEAR vs Reality'.</w:t>
      </w:r>
    </w:p>
    <w:p/>
    <w:p>
      <w:r>
        <w:rPr>
          <w:b/>
          <w:i/>
          <w:sz w:val="22"/>
        </w:rPr>
        <w:t>Predicted Results of GEAR (Integrated Scenario)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3402"/>
            <w:shd w:fill="D9D9D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134"/>
            <w:shd w:fill="D9D9D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1996</w:t>
            </w:r>
          </w:p>
        </w:tc>
        <w:tc>
          <w:tcPr>
            <w:tcW w:type="dxa" w:w="1134"/>
            <w:shd w:fill="D9D9D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1997</w:t>
            </w:r>
          </w:p>
        </w:tc>
        <w:tc>
          <w:tcPr>
            <w:tcW w:type="dxa" w:w="1134"/>
            <w:shd w:fill="D9D9D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1998</w:t>
            </w:r>
          </w:p>
        </w:tc>
        <w:tc>
          <w:tcPr>
            <w:tcW w:type="dxa" w:w="1134"/>
            <w:shd w:fill="D9D9D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1999</w:t>
            </w:r>
          </w:p>
        </w:tc>
        <w:tc>
          <w:tcPr>
            <w:tcW w:type="dxa" w:w="1134"/>
            <w:shd w:fill="D9D9D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2000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Real GDP growth (%)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2.9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3.8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4.9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6.1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Real bank rate (%)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3.0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Real private investment growth (%)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9.3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9.1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9.3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13.9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17.0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Non-agric. formal employment growth (%)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1.3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2.7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4.3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Inflation, CPI (%)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9.7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8.1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7.7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7.6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Budget deficit (% of GDP)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5.1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3.0</w:t>
            </w:r>
          </w:p>
        </w:tc>
      </w:tr>
    </w:tbl>
    <w:p/>
    <w:p>
      <w:r>
        <w:rPr>
          <w:b/>
          <w:i/>
          <w:sz w:val="22"/>
        </w:rPr>
        <w:t>Actual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3402"/>
            <w:shd w:fill="D9D9D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1134"/>
            <w:shd w:fill="D9D9D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1996</w:t>
            </w:r>
          </w:p>
        </w:tc>
        <w:tc>
          <w:tcPr>
            <w:tcW w:type="dxa" w:w="1134"/>
            <w:shd w:fill="D9D9D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1997</w:t>
            </w:r>
          </w:p>
        </w:tc>
        <w:tc>
          <w:tcPr>
            <w:tcW w:type="dxa" w:w="1134"/>
            <w:shd w:fill="D9D9D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1998</w:t>
            </w:r>
          </w:p>
        </w:tc>
        <w:tc>
          <w:tcPr>
            <w:tcW w:type="dxa" w:w="1134"/>
            <w:shd w:fill="D9D9D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1999</w:t>
            </w:r>
          </w:p>
        </w:tc>
        <w:tc>
          <w:tcPr>
            <w:tcW w:type="dxa" w:w="1134"/>
            <w:shd w:fill="D9D9D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2000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Real GDP growth (%)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4.2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1.2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3.0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Real bank rate (%)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8.8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7.4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8.1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7.3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6.5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Real private investment growth (%)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6.1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4.7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-2.9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-4.4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5.0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Non-agric. formal employment growth (%)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-0.7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-1.7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-3.7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-3.2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Inflation, CPI (%)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7.4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8.6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6.9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5.2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5.3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Budget deficit (% of GDP)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4.9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4.6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3.3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2.6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2.0</w:t>
            </w:r>
          </w:p>
        </w:tc>
      </w:tr>
    </w:tbl>
    <w:p/>
    <w:p>
      <w:r>
        <w:rPr>
          <w:b/>
        </w:rPr>
        <w:t>Notes and sources</w:t>
      </w:r>
    </w:p>
    <w:p>
      <w:pPr>
        <w:pStyle w:val="ListBullet"/>
      </w:pPr>
      <w:r>
        <w:rPr>
          <w:sz w:val="18"/>
        </w:rPr>
        <w:t>Targets: South Africa (1996) Growth, Employment and Redistribution: A Macroeconomic Strategy, Department of Finance, Integrated Scenario Projections table. The CPI inflation target for 1996–98 has been corrected here from the values given in Nattrass (2001) Table 1 (8.4 / 10.9 / 9.6), which reproduce GEAR's discarded Base Scenario rather than the Integrated Scenario actually adopted; the verified Integrated Scenario figures (8.0 / 9.7 / 8.1) are used instead, with 7.6 supplied for 2000 (blank in the original table).</w:t>
      </w:r>
    </w:p>
    <w:p>
      <w:pPr>
        <w:pStyle w:val="ListBullet"/>
      </w:pPr>
      <w:r>
        <w:rPr>
          <w:sz w:val="18"/>
        </w:rPr>
        <w:t>Actuals, 1996–99: Nattrass, N. (2001) 'High Productivity Now', Table 1, citing SARB Quarterly Bulletin, March 2000.</w:t>
      </w:r>
    </w:p>
    <w:p>
      <w:pPr>
        <w:pStyle w:val="ListBullet"/>
      </w:pPr>
      <w:r>
        <w:rPr>
          <w:sz w:val="18"/>
        </w:rPr>
        <w:t>Actuals, 2000: South African Reserve Bank (2001) Annual Economic Report 2001. Non-agric. formal employment growth and the real bank rate are shown as — for 2000 because the report gives component figures (private- and public-sector employment separately; discrete repo-rate change dates) but no single stated full-year figure comparable to the other years; no value is estimated in their place. The 2000 deficit figure (2.0% of GDP) is a fiscal-year (2000/01), not calendar-year, figure and is not strictly comparable to 1996–99.</w:t>
      </w:r>
    </w:p>
    <w:p>
      <w:pPr>
        <w:pStyle w:val="ListBullet"/>
      </w:pPr>
      <w:r>
        <w:rPr>
          <w:sz w:val="18"/>
        </w:rPr>
        <w:t>— denotes a figure not available from the cited source for that year (matches Nattrass's own convention in Table 1).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