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3 — Testing the Gamble: Private Investment, Demand and the Fiscal Signal</w:t>
      </w:r>
    </w:p>
    <w:p>
      <w:pPr>
        <w:pStyle w:val="Heading2"/>
      </w:pPr>
      <w:r>
        <w:t>Specification</w:t>
      </w:r>
    </w:p>
    <w:p>
      <w:pPr>
        <w:jc w:val="center"/>
      </w:pPr>
      <w:r>
        <w:rPr>
          <w:rFonts w:ascii="Consolas" w:hAnsi="Consolas"/>
          <w:sz w:val="21"/>
        </w:rPr>
        <w:t>inv_growthₜ = β₀ + β₁·gdp_growthₜ₋₁ + β₂·real_rateₜ + β₃·deficit_gdpₜ + εₜ</w:t>
      </w:r>
    </w:p>
    <w:p>
      <w:r>
        <w:rPr>
          <w:b w:val="0"/>
          <w:i w:val="0"/>
          <w:sz w:val="21"/>
        </w:rPr>
        <w:t>Annual data, 1994–2024, N = 31, estimated on a single consistent current vintage (SARB / StatsSA). Newey–West (HAC, lag 1) standard errors throughout.</w:t>
      </w:r>
    </w:p>
    <w:p>
      <w:r>
        <w:rPr>
          <w:b w:val="0"/>
          <w:i/>
          <w:sz w:val="21"/>
        </w:rPr>
        <w:t>Sign convention: deficit_gdp is POSITIVE when the budget is in deficit. The LABOUR/ILO ‘demand’ position predicts β₁ &gt; 0 (investment follows demand). The SAF/GEAR ‘confidence/signal’ position predicts β₃ &lt; 0 (a larger deficit damages confidence, so consolidation crowds investment in).</w:t>
      </w:r>
    </w:p>
    <w:p>
      <w:pPr>
        <w:pStyle w:val="Heading2"/>
      </w:pPr>
      <w:r>
        <w:t>Main result</w:t>
      </w:r>
    </w:p>
    <w:p>
      <w:r>
        <w:rPr>
          <w:b/>
          <w:i w:val="0"/>
          <w:sz w:val="21"/>
        </w:rPr>
        <w:t>Full sample, 1994–2024</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D9D9"/>
          </w:tcPr>
          <w:p>
            <w:pPr>
              <w:jc w:val="center"/>
            </w:pPr>
            <w:r/>
            <w:r>
              <w:rPr>
                <w:rFonts w:ascii="Calibri" w:hAnsi="Calibri"/>
                <w:b/>
                <w:sz w:val="19"/>
              </w:rPr>
              <w:t>Variable</w:t>
            </w:r>
          </w:p>
        </w:tc>
        <w:tc>
          <w:tcPr>
            <w:tcW w:type="dxa" w:w="2493"/>
            <w:shd w:fill="D9D9D9"/>
          </w:tcPr>
          <w:p>
            <w:pPr>
              <w:jc w:val="center"/>
            </w:pPr>
            <w:r/>
            <w:r>
              <w:rPr>
                <w:rFonts w:ascii="Calibri" w:hAnsi="Calibri"/>
                <w:b/>
                <w:sz w:val="19"/>
              </w:rPr>
              <w:t>Coefficient</w:t>
            </w:r>
          </w:p>
        </w:tc>
        <w:tc>
          <w:tcPr>
            <w:tcW w:type="dxa" w:w="2493"/>
            <w:shd w:fill="D9D9D9"/>
          </w:tcPr>
          <w:p>
            <w:pPr>
              <w:jc w:val="center"/>
            </w:pPr>
            <w:r/>
            <w:r>
              <w:rPr>
                <w:rFonts w:ascii="Calibri" w:hAnsi="Calibri"/>
                <w:b/>
                <w:sz w:val="19"/>
              </w:rPr>
              <w:t>HAC s.e.</w:t>
            </w:r>
          </w:p>
        </w:tc>
        <w:tc>
          <w:tcPr>
            <w:tcW w:type="dxa" w:w="2493"/>
            <w:shd w:fill="D9D9D9"/>
          </w:tcPr>
          <w:p>
            <w:pPr>
              <w:jc w:val="center"/>
            </w:pPr>
            <w:r/>
            <w:r>
              <w:rPr>
                <w:rFonts w:ascii="Calibri" w:hAnsi="Calibri"/>
                <w:b/>
                <w:sz w:val="19"/>
              </w:rPr>
              <w:t>p-value</w:t>
            </w:r>
          </w:p>
        </w:tc>
      </w:tr>
      <w:tr>
        <w:tc>
          <w:tcPr>
            <w:tcW w:type="dxa" w:w="2493"/>
          </w:tcPr>
          <w:p>
            <w:pPr>
              <w:jc w:val="left"/>
            </w:pPr>
            <w:r/>
            <w:r>
              <w:rPr>
                <w:rFonts w:ascii="Calibri" w:hAnsi="Calibri"/>
                <w:b w:val="0"/>
                <w:sz w:val="19"/>
              </w:rPr>
              <w:t>Intercept</w:t>
            </w:r>
          </w:p>
        </w:tc>
        <w:tc>
          <w:tcPr>
            <w:tcW w:type="dxa" w:w="2493"/>
          </w:tcPr>
          <w:p>
            <w:pPr>
              <w:jc w:val="center"/>
            </w:pPr>
            <w:r/>
            <w:r>
              <w:rPr>
                <w:rFonts w:ascii="Calibri" w:hAnsi="Calibri"/>
                <w:b w:val="0"/>
                <w:sz w:val="19"/>
              </w:rPr>
              <w:t>8.264 *</w:t>
            </w:r>
          </w:p>
        </w:tc>
        <w:tc>
          <w:tcPr>
            <w:tcW w:type="dxa" w:w="2493"/>
          </w:tcPr>
          <w:p>
            <w:pPr>
              <w:jc w:val="center"/>
            </w:pPr>
            <w:r/>
            <w:r>
              <w:rPr>
                <w:rFonts w:ascii="Calibri" w:hAnsi="Calibri"/>
                <w:b w:val="0"/>
                <w:sz w:val="19"/>
              </w:rPr>
              <w:t>2.701</w:t>
            </w:r>
          </w:p>
        </w:tc>
        <w:tc>
          <w:tcPr>
            <w:tcW w:type="dxa" w:w="2493"/>
          </w:tcPr>
          <w:p>
            <w:pPr>
              <w:jc w:val="center"/>
            </w:pPr>
            <w:r/>
            <w:r>
              <w:rPr>
                <w:rFonts w:ascii="Calibri" w:hAnsi="Calibri"/>
                <w:b w:val="0"/>
                <w:sz w:val="19"/>
              </w:rPr>
              <w:t>0.002</w:t>
            </w:r>
          </w:p>
        </w:tc>
      </w:tr>
      <w:tr>
        <w:tc>
          <w:tcPr>
            <w:tcW w:type="dxa" w:w="2493"/>
          </w:tcPr>
          <w:p>
            <w:pPr>
              <w:jc w:val="left"/>
            </w:pPr>
            <w:r/>
            <w:r>
              <w:rPr>
                <w:rFonts w:ascii="Calibri" w:hAnsi="Calibri"/>
                <w:b w:val="0"/>
                <w:sz w:val="19"/>
              </w:rPr>
              <w:t>Lagged real GDP growth (DEMAND)</w:t>
            </w:r>
          </w:p>
        </w:tc>
        <w:tc>
          <w:tcPr>
            <w:tcW w:type="dxa" w:w="2493"/>
          </w:tcPr>
          <w:p>
            <w:pPr>
              <w:jc w:val="center"/>
            </w:pPr>
            <w:r/>
            <w:r>
              <w:rPr>
                <w:rFonts w:ascii="Calibri" w:hAnsi="Calibri"/>
                <w:b w:val="0"/>
                <w:sz w:val="19"/>
              </w:rPr>
              <w:t>0.521</w:t>
            </w:r>
          </w:p>
        </w:tc>
        <w:tc>
          <w:tcPr>
            <w:tcW w:type="dxa" w:w="2493"/>
          </w:tcPr>
          <w:p>
            <w:pPr>
              <w:jc w:val="center"/>
            </w:pPr>
            <w:r/>
            <w:r>
              <w:rPr>
                <w:rFonts w:ascii="Calibri" w:hAnsi="Calibri"/>
                <w:b w:val="0"/>
                <w:sz w:val="19"/>
              </w:rPr>
              <w:t>0.389</w:t>
            </w:r>
          </w:p>
        </w:tc>
        <w:tc>
          <w:tcPr>
            <w:tcW w:type="dxa" w:w="2493"/>
          </w:tcPr>
          <w:p>
            <w:pPr>
              <w:jc w:val="center"/>
            </w:pPr>
            <w:r/>
            <w:r>
              <w:rPr>
                <w:rFonts w:ascii="Calibri" w:hAnsi="Calibri"/>
                <w:b w:val="0"/>
                <w:sz w:val="19"/>
              </w:rPr>
              <w:t>0.180</w:t>
            </w:r>
          </w:p>
        </w:tc>
      </w:tr>
      <w:tr>
        <w:tc>
          <w:tcPr>
            <w:tcW w:type="dxa" w:w="2493"/>
          </w:tcPr>
          <w:p>
            <w:pPr>
              <w:jc w:val="left"/>
            </w:pPr>
            <w:r/>
            <w:r>
              <w:rPr>
                <w:rFonts w:ascii="Calibri" w:hAnsi="Calibri"/>
                <w:b w:val="0"/>
                <w:sz w:val="19"/>
              </w:rPr>
              <w:t>Real bank rate</w:t>
            </w:r>
          </w:p>
        </w:tc>
        <w:tc>
          <w:tcPr>
            <w:tcW w:type="dxa" w:w="2493"/>
          </w:tcPr>
          <w:p>
            <w:pPr>
              <w:jc w:val="center"/>
            </w:pPr>
            <w:r/>
            <w:r>
              <w:rPr>
                <w:rFonts w:ascii="Calibri" w:hAnsi="Calibri"/>
                <w:b w:val="0"/>
                <w:sz w:val="19"/>
              </w:rPr>
              <w:t>-0.062</w:t>
            </w:r>
          </w:p>
        </w:tc>
        <w:tc>
          <w:tcPr>
            <w:tcW w:type="dxa" w:w="2493"/>
          </w:tcPr>
          <w:p>
            <w:pPr>
              <w:jc w:val="center"/>
            </w:pPr>
            <w:r/>
            <w:r>
              <w:rPr>
                <w:rFonts w:ascii="Calibri" w:hAnsi="Calibri"/>
                <w:b w:val="0"/>
                <w:sz w:val="19"/>
              </w:rPr>
              <w:t>0.372</w:t>
            </w:r>
          </w:p>
        </w:tc>
        <w:tc>
          <w:tcPr>
            <w:tcW w:type="dxa" w:w="2493"/>
          </w:tcPr>
          <w:p>
            <w:pPr>
              <w:jc w:val="center"/>
            </w:pPr>
            <w:r/>
            <w:r>
              <w:rPr>
                <w:rFonts w:ascii="Calibri" w:hAnsi="Calibri"/>
                <w:b w:val="0"/>
                <w:sz w:val="19"/>
              </w:rPr>
              <w:t>0.868</w:t>
            </w:r>
          </w:p>
        </w:tc>
      </w:tr>
      <w:tr>
        <w:tc>
          <w:tcPr>
            <w:tcW w:type="dxa" w:w="2493"/>
          </w:tcPr>
          <w:p>
            <w:pPr>
              <w:jc w:val="left"/>
            </w:pPr>
            <w:r/>
            <w:r>
              <w:rPr>
                <w:rFonts w:ascii="Calibri" w:hAnsi="Calibri"/>
                <w:b w:val="0"/>
                <w:sz w:val="19"/>
              </w:rPr>
              <w:t>Deficit, % of GDP (SIGNAL)</w:t>
            </w:r>
          </w:p>
        </w:tc>
        <w:tc>
          <w:tcPr>
            <w:tcW w:type="dxa" w:w="2493"/>
          </w:tcPr>
          <w:p>
            <w:pPr>
              <w:jc w:val="center"/>
            </w:pPr>
            <w:r/>
            <w:r>
              <w:rPr>
                <w:rFonts w:ascii="Calibri" w:hAnsi="Calibri"/>
                <w:b w:val="0"/>
                <w:sz w:val="19"/>
              </w:rPr>
              <w:t>-1.831 *</w:t>
            </w:r>
          </w:p>
        </w:tc>
        <w:tc>
          <w:tcPr>
            <w:tcW w:type="dxa" w:w="2493"/>
          </w:tcPr>
          <w:p>
            <w:pPr>
              <w:jc w:val="center"/>
            </w:pPr>
            <w:r/>
            <w:r>
              <w:rPr>
                <w:rFonts w:ascii="Calibri" w:hAnsi="Calibri"/>
                <w:b w:val="0"/>
                <w:sz w:val="19"/>
              </w:rPr>
              <w:t>0.596</w:t>
            </w:r>
          </w:p>
        </w:tc>
        <w:tc>
          <w:tcPr>
            <w:tcW w:type="dxa" w:w="2493"/>
          </w:tcPr>
          <w:p>
            <w:pPr>
              <w:jc w:val="center"/>
            </w:pPr>
            <w:r/>
            <w:r>
              <w:rPr>
                <w:rFonts w:ascii="Calibri" w:hAnsi="Calibri"/>
                <w:b w:val="0"/>
                <w:sz w:val="19"/>
              </w:rPr>
              <w:t>0.002</w:t>
            </w:r>
          </w:p>
        </w:tc>
      </w:tr>
    </w:tbl>
    <w:p>
      <w:r>
        <w:rPr>
          <w:i/>
          <w:sz w:val="17"/>
        </w:rPr>
        <w:t>N = 31;  R² = 0.422;  adj. R² = 0.358.  * = p &lt; 0.05.</w:t>
      </w:r>
    </w:p>
    <w:p/>
    <w:p>
      <w:r>
        <w:rPr>
          <w:b w:val="0"/>
          <w:i w:val="0"/>
          <w:sz w:val="21"/>
        </w:rPr>
        <w:t>Read alone, this looks like a clean win for GEAR: the signal channel is significant with exactly the predicted sign, and the demand channel is not significant. Two tests show it should not be read alone.</w:t>
      </w:r>
    </w:p>
    <w:p>
      <w:pPr>
        <w:pStyle w:val="Heading2"/>
      </w:pPr>
      <w:r>
        <w:t>Diagnostics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pPr>
              <w:jc w:val="center"/>
            </w:pPr>
            <w:r/>
            <w:r>
              <w:rPr>
                <w:rFonts w:ascii="Calibri" w:hAnsi="Calibri"/>
                <w:b/>
                <w:sz w:val="19"/>
              </w:rPr>
              <w:t>Test</w:t>
            </w:r>
          </w:p>
        </w:tc>
        <w:tc>
          <w:tcPr>
            <w:tcW w:type="dxa" w:w="3324"/>
            <w:shd w:fill="D9D9D9"/>
          </w:tcPr>
          <w:p>
            <w:pPr>
              <w:jc w:val="center"/>
            </w:pPr>
            <w:r/>
            <w:r>
              <w:rPr>
                <w:rFonts w:ascii="Calibri" w:hAnsi="Calibri"/>
                <w:b/>
                <w:sz w:val="19"/>
              </w:rPr>
              <w:t>Statistic</w:t>
            </w:r>
          </w:p>
        </w:tc>
        <w:tc>
          <w:tcPr>
            <w:tcW w:type="dxa" w:w="3324"/>
            <w:shd w:fill="D9D9D9"/>
          </w:tcPr>
          <w:p>
            <w:pPr>
              <w:jc w:val="center"/>
            </w:pPr>
            <w:r/>
            <w:r>
              <w:rPr>
                <w:rFonts w:ascii="Calibri" w:hAnsi="Calibri"/>
                <w:b/>
                <w:sz w:val="19"/>
              </w:rPr>
              <w:t>Conclusion</w:t>
            </w:r>
          </w:p>
        </w:tc>
      </w:tr>
      <w:tr>
        <w:tc>
          <w:tcPr>
            <w:tcW w:type="dxa" w:w="3324"/>
          </w:tcPr>
          <w:p>
            <w:pPr>
              <w:jc w:val="left"/>
            </w:pPr>
            <w:r/>
            <w:r>
              <w:rPr>
                <w:rFonts w:ascii="Calibri" w:hAnsi="Calibri"/>
                <w:b w:val="0"/>
                <w:sz w:val="19"/>
              </w:rPr>
              <w:t>Durbin–Watson</w:t>
            </w:r>
          </w:p>
        </w:tc>
        <w:tc>
          <w:tcPr>
            <w:tcW w:type="dxa" w:w="3324"/>
          </w:tcPr>
          <w:p>
            <w:pPr>
              <w:jc w:val="center"/>
            </w:pPr>
            <w:r/>
            <w:r>
              <w:rPr>
                <w:rFonts w:ascii="Calibri" w:hAnsi="Calibri"/>
                <w:b w:val="0"/>
                <w:sz w:val="19"/>
              </w:rPr>
              <w:t>1.184</w:t>
            </w:r>
          </w:p>
        </w:tc>
        <w:tc>
          <w:tcPr>
            <w:tcW w:type="dxa" w:w="3324"/>
          </w:tcPr>
          <w:p>
            <w:pPr>
              <w:jc w:val="left"/>
            </w:pPr>
            <w:r/>
            <w:r>
              <w:rPr>
                <w:rFonts w:ascii="Calibri" w:hAnsi="Calibri"/>
                <w:b w:val="0"/>
                <w:sz w:val="18"/>
              </w:rPr>
              <w:t>Below 2 — positive autocorrelation likely</w:t>
            </w:r>
          </w:p>
        </w:tc>
      </w:tr>
      <w:tr>
        <w:tc>
          <w:tcPr>
            <w:tcW w:type="dxa" w:w="3324"/>
          </w:tcPr>
          <w:p>
            <w:pPr>
              <w:jc w:val="left"/>
            </w:pPr>
            <w:r/>
            <w:r>
              <w:rPr>
                <w:rFonts w:ascii="Calibri" w:hAnsi="Calibri"/>
                <w:b w:val="0"/>
                <w:sz w:val="19"/>
              </w:rPr>
              <w:t>Breusch–Godfrey AR(1)</w:t>
            </w:r>
          </w:p>
        </w:tc>
        <w:tc>
          <w:tcPr>
            <w:tcW w:type="dxa" w:w="3324"/>
          </w:tcPr>
          <w:p>
            <w:pPr>
              <w:jc w:val="center"/>
            </w:pPr>
            <w:r/>
            <w:r>
              <w:rPr>
                <w:rFonts w:ascii="Calibri" w:hAnsi="Calibri"/>
                <w:b w:val="0"/>
                <w:sz w:val="19"/>
              </w:rPr>
              <w:t>LM = 5.01, p = 0.025</w:t>
            </w:r>
          </w:p>
        </w:tc>
        <w:tc>
          <w:tcPr>
            <w:tcW w:type="dxa" w:w="3324"/>
          </w:tcPr>
          <w:p>
            <w:pPr>
              <w:jc w:val="left"/>
            </w:pPr>
            <w:r/>
            <w:r>
              <w:rPr>
                <w:rFonts w:ascii="Calibri" w:hAnsi="Calibri"/>
                <w:b w:val="0"/>
                <w:sz w:val="18"/>
              </w:rPr>
              <w:t>Autocorrelation present — HAC s.e. required</w:t>
            </w:r>
          </w:p>
        </w:tc>
      </w:tr>
      <w:tr>
        <w:tc>
          <w:tcPr>
            <w:tcW w:type="dxa" w:w="3324"/>
          </w:tcPr>
          <w:p>
            <w:pPr>
              <w:jc w:val="left"/>
            </w:pPr>
            <w:r/>
            <w:r>
              <w:rPr>
                <w:rFonts w:ascii="Calibri" w:hAnsi="Calibri"/>
                <w:b w:val="0"/>
                <w:sz w:val="19"/>
              </w:rPr>
              <w:t>Breusch–Pagan</w:t>
            </w:r>
          </w:p>
        </w:tc>
        <w:tc>
          <w:tcPr>
            <w:tcW w:type="dxa" w:w="3324"/>
          </w:tcPr>
          <w:p>
            <w:pPr>
              <w:jc w:val="center"/>
            </w:pPr>
            <w:r/>
            <w:r>
              <w:rPr>
                <w:rFonts w:ascii="Calibri" w:hAnsi="Calibri"/>
                <w:b w:val="0"/>
                <w:sz w:val="19"/>
              </w:rPr>
              <w:t>LM = 3.75, p = 0.290</w:t>
            </w:r>
          </w:p>
        </w:tc>
        <w:tc>
          <w:tcPr>
            <w:tcW w:type="dxa" w:w="3324"/>
          </w:tcPr>
          <w:p>
            <w:pPr>
              <w:jc w:val="left"/>
            </w:pPr>
            <w:r/>
            <w:r>
              <w:rPr>
                <w:rFonts w:ascii="Calibri" w:hAnsi="Calibri"/>
                <w:b w:val="0"/>
                <w:sz w:val="18"/>
              </w:rPr>
              <w:t>No evidence of heteroskedasticity</w:t>
            </w:r>
          </w:p>
        </w:tc>
      </w:tr>
      <w:tr>
        <w:tc>
          <w:tcPr>
            <w:tcW w:type="dxa" w:w="3324"/>
          </w:tcPr>
          <w:p>
            <w:pPr>
              <w:jc w:val="left"/>
            </w:pPr>
            <w:r/>
            <w:r>
              <w:rPr>
                <w:rFonts w:ascii="Calibri" w:hAnsi="Calibri"/>
                <w:b w:val="0"/>
                <w:sz w:val="19"/>
              </w:rPr>
              <w:t>Jarque–Bera</w:t>
            </w:r>
          </w:p>
        </w:tc>
        <w:tc>
          <w:tcPr>
            <w:tcW w:type="dxa" w:w="3324"/>
          </w:tcPr>
          <w:p>
            <w:pPr>
              <w:jc w:val="center"/>
            </w:pPr>
            <w:r/>
            <w:r>
              <w:rPr>
                <w:rFonts w:ascii="Calibri" w:hAnsi="Calibri"/>
                <w:b w:val="0"/>
                <w:sz w:val="19"/>
              </w:rPr>
              <w:t>JB = 0.08, p = 0.960</w:t>
            </w:r>
          </w:p>
        </w:tc>
        <w:tc>
          <w:tcPr>
            <w:tcW w:type="dxa" w:w="3324"/>
          </w:tcPr>
          <w:p>
            <w:pPr>
              <w:jc w:val="left"/>
            </w:pPr>
            <w:r/>
            <w:r>
              <w:rPr>
                <w:rFonts w:ascii="Calibri" w:hAnsi="Calibri"/>
                <w:b w:val="0"/>
                <w:sz w:val="18"/>
              </w:rPr>
              <w:t>Normality not rejected</w:t>
            </w:r>
          </w:p>
        </w:tc>
      </w:tr>
    </w:tbl>
    <w:p/>
    <w:p>
      <w:r>
        <w:rPr>
          <w:b w:val="0"/>
          <w:i/>
          <w:sz w:val="19"/>
        </w:rPr>
        <w:t>All variance inflation factors are below 1.6, so multicollinearity is not a concern.</w:t>
      </w:r>
    </w:p>
    <w:p>
      <w:r>
        <w:br w:type="page"/>
      </w:r>
    </w:p>
    <w:p>
      <w:pPr>
        <w:pStyle w:val="Heading2"/>
      </w:pPr>
      <w:r>
        <w:t>Test 1 — the sign reverses across the 2008 split</w:t>
      </w:r>
    </w:p>
    <w:p>
      <w:r>
        <w:rPr>
          <w:b/>
          <w:i w:val="0"/>
          <w:sz w:val="21"/>
        </w:rPr>
        <w:t>Chow test for a structural break at 2008: F(4, 23) = 4.01, p = 0.013 — parameter stability is rejected.</w:t>
      </w:r>
    </w:p>
    <w:p>
      <w:r>
        <w:rPr>
          <w:b/>
          <w:i w:val="0"/>
          <w:sz w:val="21"/>
        </w:rPr>
        <w:t>Sub-sample A: 1994–2007</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D9D9"/>
          </w:tcPr>
          <w:p>
            <w:pPr>
              <w:jc w:val="center"/>
            </w:pPr>
            <w:r/>
            <w:r>
              <w:rPr>
                <w:rFonts w:ascii="Calibri" w:hAnsi="Calibri"/>
                <w:b/>
                <w:sz w:val="19"/>
              </w:rPr>
              <w:t>Variable</w:t>
            </w:r>
          </w:p>
        </w:tc>
        <w:tc>
          <w:tcPr>
            <w:tcW w:type="dxa" w:w="2493"/>
            <w:shd w:fill="D9D9D9"/>
          </w:tcPr>
          <w:p>
            <w:pPr>
              <w:jc w:val="center"/>
            </w:pPr>
            <w:r/>
            <w:r>
              <w:rPr>
                <w:rFonts w:ascii="Calibri" w:hAnsi="Calibri"/>
                <w:b/>
                <w:sz w:val="19"/>
              </w:rPr>
              <w:t>Coefficient</w:t>
            </w:r>
          </w:p>
        </w:tc>
        <w:tc>
          <w:tcPr>
            <w:tcW w:type="dxa" w:w="2493"/>
            <w:shd w:fill="D9D9D9"/>
          </w:tcPr>
          <w:p>
            <w:pPr>
              <w:jc w:val="center"/>
            </w:pPr>
            <w:r/>
            <w:r>
              <w:rPr>
                <w:rFonts w:ascii="Calibri" w:hAnsi="Calibri"/>
                <w:b/>
                <w:sz w:val="19"/>
              </w:rPr>
              <w:t>HAC s.e.</w:t>
            </w:r>
          </w:p>
        </w:tc>
        <w:tc>
          <w:tcPr>
            <w:tcW w:type="dxa" w:w="2493"/>
            <w:shd w:fill="D9D9D9"/>
          </w:tcPr>
          <w:p>
            <w:pPr>
              <w:jc w:val="center"/>
            </w:pPr>
            <w:r/>
            <w:r>
              <w:rPr>
                <w:rFonts w:ascii="Calibri" w:hAnsi="Calibri"/>
                <w:b/>
                <w:sz w:val="19"/>
              </w:rPr>
              <w:t>p-value</w:t>
            </w:r>
          </w:p>
        </w:tc>
      </w:tr>
      <w:tr>
        <w:tc>
          <w:tcPr>
            <w:tcW w:type="dxa" w:w="2493"/>
          </w:tcPr>
          <w:p>
            <w:pPr>
              <w:jc w:val="left"/>
            </w:pPr>
            <w:r/>
            <w:r>
              <w:rPr>
                <w:rFonts w:ascii="Calibri" w:hAnsi="Calibri"/>
                <w:b w:val="0"/>
                <w:sz w:val="19"/>
              </w:rPr>
              <w:t>Intercept</w:t>
            </w:r>
          </w:p>
        </w:tc>
        <w:tc>
          <w:tcPr>
            <w:tcW w:type="dxa" w:w="2493"/>
          </w:tcPr>
          <w:p>
            <w:pPr>
              <w:jc w:val="center"/>
            </w:pPr>
            <w:r/>
            <w:r>
              <w:rPr>
                <w:rFonts w:ascii="Calibri" w:hAnsi="Calibri"/>
                <w:b w:val="0"/>
                <w:sz w:val="19"/>
              </w:rPr>
              <w:t>9.950 *</w:t>
            </w:r>
          </w:p>
        </w:tc>
        <w:tc>
          <w:tcPr>
            <w:tcW w:type="dxa" w:w="2493"/>
          </w:tcPr>
          <w:p>
            <w:pPr>
              <w:jc w:val="center"/>
            </w:pPr>
            <w:r/>
            <w:r>
              <w:rPr>
                <w:rFonts w:ascii="Calibri" w:hAnsi="Calibri"/>
                <w:b w:val="0"/>
                <w:sz w:val="19"/>
              </w:rPr>
              <w:t>4.412</w:t>
            </w:r>
          </w:p>
        </w:tc>
        <w:tc>
          <w:tcPr>
            <w:tcW w:type="dxa" w:w="2493"/>
          </w:tcPr>
          <w:p>
            <w:pPr>
              <w:jc w:val="center"/>
            </w:pPr>
            <w:r/>
            <w:r>
              <w:rPr>
                <w:rFonts w:ascii="Calibri" w:hAnsi="Calibri"/>
                <w:b w:val="0"/>
                <w:sz w:val="19"/>
              </w:rPr>
              <w:t>0.024</w:t>
            </w:r>
          </w:p>
        </w:tc>
      </w:tr>
      <w:tr>
        <w:tc>
          <w:tcPr>
            <w:tcW w:type="dxa" w:w="2493"/>
          </w:tcPr>
          <w:p>
            <w:pPr>
              <w:jc w:val="left"/>
            </w:pPr>
            <w:r/>
            <w:r>
              <w:rPr>
                <w:rFonts w:ascii="Calibri" w:hAnsi="Calibri"/>
                <w:b w:val="0"/>
                <w:sz w:val="19"/>
              </w:rPr>
              <w:t>Lagged real GDP growth (DEMAND)</w:t>
            </w:r>
          </w:p>
        </w:tc>
        <w:tc>
          <w:tcPr>
            <w:tcW w:type="dxa" w:w="2493"/>
          </w:tcPr>
          <w:p>
            <w:pPr>
              <w:jc w:val="center"/>
            </w:pPr>
            <w:r/>
            <w:r>
              <w:rPr>
                <w:rFonts w:ascii="Calibri" w:hAnsi="Calibri"/>
                <w:b w:val="0"/>
                <w:sz w:val="19"/>
              </w:rPr>
              <w:t>0.870</w:t>
            </w:r>
          </w:p>
        </w:tc>
        <w:tc>
          <w:tcPr>
            <w:tcW w:type="dxa" w:w="2493"/>
          </w:tcPr>
          <w:p>
            <w:pPr>
              <w:jc w:val="center"/>
            </w:pPr>
            <w:r/>
            <w:r>
              <w:rPr>
                <w:rFonts w:ascii="Calibri" w:hAnsi="Calibri"/>
                <w:b w:val="0"/>
                <w:sz w:val="19"/>
              </w:rPr>
              <w:t>0.548</w:t>
            </w:r>
          </w:p>
        </w:tc>
        <w:tc>
          <w:tcPr>
            <w:tcW w:type="dxa" w:w="2493"/>
          </w:tcPr>
          <w:p>
            <w:pPr>
              <w:jc w:val="center"/>
            </w:pPr>
            <w:r/>
            <w:r>
              <w:rPr>
                <w:rFonts w:ascii="Calibri" w:hAnsi="Calibri"/>
                <w:b w:val="0"/>
                <w:sz w:val="19"/>
              </w:rPr>
              <w:t>0.113</w:t>
            </w:r>
          </w:p>
        </w:tc>
      </w:tr>
      <w:tr>
        <w:tc>
          <w:tcPr>
            <w:tcW w:type="dxa" w:w="2493"/>
          </w:tcPr>
          <w:p>
            <w:pPr>
              <w:jc w:val="left"/>
            </w:pPr>
            <w:r/>
            <w:r>
              <w:rPr>
                <w:rFonts w:ascii="Calibri" w:hAnsi="Calibri"/>
                <w:b w:val="0"/>
                <w:sz w:val="19"/>
              </w:rPr>
              <w:t>Real bank rate</w:t>
            </w:r>
          </w:p>
        </w:tc>
        <w:tc>
          <w:tcPr>
            <w:tcW w:type="dxa" w:w="2493"/>
          </w:tcPr>
          <w:p>
            <w:pPr>
              <w:jc w:val="center"/>
            </w:pPr>
            <w:r/>
            <w:r>
              <w:rPr>
                <w:rFonts w:ascii="Calibri" w:hAnsi="Calibri"/>
                <w:b w:val="0"/>
                <w:sz w:val="19"/>
              </w:rPr>
              <w:t>-1.374 *</w:t>
            </w:r>
          </w:p>
        </w:tc>
        <w:tc>
          <w:tcPr>
            <w:tcW w:type="dxa" w:w="2493"/>
          </w:tcPr>
          <w:p>
            <w:pPr>
              <w:jc w:val="center"/>
            </w:pPr>
            <w:r/>
            <w:r>
              <w:rPr>
                <w:rFonts w:ascii="Calibri" w:hAnsi="Calibri"/>
                <w:b w:val="0"/>
                <w:sz w:val="19"/>
              </w:rPr>
              <w:t>0.346</w:t>
            </w:r>
          </w:p>
        </w:tc>
        <w:tc>
          <w:tcPr>
            <w:tcW w:type="dxa" w:w="2493"/>
          </w:tcPr>
          <w:p>
            <w:pPr>
              <w:jc w:val="center"/>
            </w:pPr>
            <w:r/>
            <w:r>
              <w:rPr>
                <w:rFonts w:ascii="Calibri" w:hAnsi="Calibri"/>
                <w:b w:val="0"/>
                <w:sz w:val="19"/>
              </w:rPr>
              <w:t>0.000</w:t>
            </w:r>
          </w:p>
        </w:tc>
      </w:tr>
      <w:tr>
        <w:tc>
          <w:tcPr>
            <w:tcW w:type="dxa" w:w="2493"/>
          </w:tcPr>
          <w:p>
            <w:pPr>
              <w:jc w:val="left"/>
            </w:pPr>
            <w:r/>
            <w:r>
              <w:rPr>
                <w:rFonts w:ascii="Calibri" w:hAnsi="Calibri"/>
                <w:b w:val="0"/>
                <w:sz w:val="19"/>
              </w:rPr>
              <w:t>Deficit, % of GDP (SIGNAL)</w:t>
            </w:r>
          </w:p>
        </w:tc>
        <w:tc>
          <w:tcPr>
            <w:tcW w:type="dxa" w:w="2493"/>
          </w:tcPr>
          <w:p>
            <w:pPr>
              <w:jc w:val="center"/>
            </w:pPr>
            <w:r/>
            <w:r>
              <w:rPr>
                <w:rFonts w:ascii="Calibri" w:hAnsi="Calibri"/>
                <w:b w:val="0"/>
                <w:sz w:val="19"/>
              </w:rPr>
              <w:t>1.666 *</w:t>
            </w:r>
          </w:p>
        </w:tc>
        <w:tc>
          <w:tcPr>
            <w:tcW w:type="dxa" w:w="2493"/>
          </w:tcPr>
          <w:p>
            <w:pPr>
              <w:jc w:val="center"/>
            </w:pPr>
            <w:r/>
            <w:r>
              <w:rPr>
                <w:rFonts w:ascii="Calibri" w:hAnsi="Calibri"/>
                <w:b w:val="0"/>
                <w:sz w:val="19"/>
              </w:rPr>
              <w:t>0.628</w:t>
            </w:r>
          </w:p>
        </w:tc>
        <w:tc>
          <w:tcPr>
            <w:tcW w:type="dxa" w:w="2493"/>
          </w:tcPr>
          <w:p>
            <w:pPr>
              <w:jc w:val="center"/>
            </w:pPr>
            <w:r/>
            <w:r>
              <w:rPr>
                <w:rFonts w:ascii="Calibri" w:hAnsi="Calibri"/>
                <w:b w:val="0"/>
                <w:sz w:val="19"/>
              </w:rPr>
              <w:t>0.008</w:t>
            </w:r>
          </w:p>
        </w:tc>
      </w:tr>
    </w:tbl>
    <w:p>
      <w:r>
        <w:rPr>
          <w:i/>
          <w:sz w:val="17"/>
        </w:rPr>
        <w:t>N = 14;  R² = 0.506;  adj. R² = 0.357.  * = p &lt; 0.05.</w:t>
      </w:r>
    </w:p>
    <w:p/>
    <w:p>
      <w:r>
        <w:rPr>
          <w:b/>
          <w:i w:val="0"/>
          <w:sz w:val="21"/>
        </w:rPr>
        <w:t>Sub-sample B: 2008–2024</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D9D9"/>
          </w:tcPr>
          <w:p>
            <w:pPr>
              <w:jc w:val="center"/>
            </w:pPr>
            <w:r/>
            <w:r>
              <w:rPr>
                <w:rFonts w:ascii="Calibri" w:hAnsi="Calibri"/>
                <w:b/>
                <w:sz w:val="19"/>
              </w:rPr>
              <w:t>Variable</w:t>
            </w:r>
          </w:p>
        </w:tc>
        <w:tc>
          <w:tcPr>
            <w:tcW w:type="dxa" w:w="2493"/>
            <w:shd w:fill="D9D9D9"/>
          </w:tcPr>
          <w:p>
            <w:pPr>
              <w:jc w:val="center"/>
            </w:pPr>
            <w:r/>
            <w:r>
              <w:rPr>
                <w:rFonts w:ascii="Calibri" w:hAnsi="Calibri"/>
                <w:b/>
                <w:sz w:val="19"/>
              </w:rPr>
              <w:t>Coefficient</w:t>
            </w:r>
          </w:p>
        </w:tc>
        <w:tc>
          <w:tcPr>
            <w:tcW w:type="dxa" w:w="2493"/>
            <w:shd w:fill="D9D9D9"/>
          </w:tcPr>
          <w:p>
            <w:pPr>
              <w:jc w:val="center"/>
            </w:pPr>
            <w:r/>
            <w:r>
              <w:rPr>
                <w:rFonts w:ascii="Calibri" w:hAnsi="Calibri"/>
                <w:b/>
                <w:sz w:val="19"/>
              </w:rPr>
              <w:t>HAC s.e.</w:t>
            </w:r>
          </w:p>
        </w:tc>
        <w:tc>
          <w:tcPr>
            <w:tcW w:type="dxa" w:w="2493"/>
            <w:shd w:fill="D9D9D9"/>
          </w:tcPr>
          <w:p>
            <w:pPr>
              <w:jc w:val="center"/>
            </w:pPr>
            <w:r/>
            <w:r>
              <w:rPr>
                <w:rFonts w:ascii="Calibri" w:hAnsi="Calibri"/>
                <w:b/>
                <w:sz w:val="19"/>
              </w:rPr>
              <w:t>p-value</w:t>
            </w:r>
          </w:p>
        </w:tc>
      </w:tr>
      <w:tr>
        <w:tc>
          <w:tcPr>
            <w:tcW w:type="dxa" w:w="2493"/>
          </w:tcPr>
          <w:p>
            <w:pPr>
              <w:jc w:val="left"/>
            </w:pPr>
            <w:r/>
            <w:r>
              <w:rPr>
                <w:rFonts w:ascii="Calibri" w:hAnsi="Calibri"/>
                <w:b w:val="0"/>
                <w:sz w:val="19"/>
              </w:rPr>
              <w:t>Intercept</w:t>
            </w:r>
          </w:p>
        </w:tc>
        <w:tc>
          <w:tcPr>
            <w:tcW w:type="dxa" w:w="2493"/>
          </w:tcPr>
          <w:p>
            <w:pPr>
              <w:jc w:val="center"/>
            </w:pPr>
            <w:r/>
            <w:r>
              <w:rPr>
                <w:rFonts w:ascii="Calibri" w:hAnsi="Calibri"/>
                <w:b w:val="0"/>
                <w:sz w:val="19"/>
              </w:rPr>
              <w:t>10.561 *</w:t>
            </w:r>
          </w:p>
        </w:tc>
        <w:tc>
          <w:tcPr>
            <w:tcW w:type="dxa" w:w="2493"/>
          </w:tcPr>
          <w:p>
            <w:pPr>
              <w:jc w:val="center"/>
            </w:pPr>
            <w:r/>
            <w:r>
              <w:rPr>
                <w:rFonts w:ascii="Calibri" w:hAnsi="Calibri"/>
                <w:b w:val="0"/>
                <w:sz w:val="19"/>
              </w:rPr>
              <w:t>2.309</w:t>
            </w:r>
          </w:p>
        </w:tc>
        <w:tc>
          <w:tcPr>
            <w:tcW w:type="dxa" w:w="2493"/>
          </w:tcPr>
          <w:p>
            <w:pPr>
              <w:jc w:val="center"/>
            </w:pPr>
            <w:r/>
            <w:r>
              <w:rPr>
                <w:rFonts w:ascii="Calibri" w:hAnsi="Calibri"/>
                <w:b w:val="0"/>
                <w:sz w:val="19"/>
              </w:rPr>
              <w:t>0.000</w:t>
            </w:r>
          </w:p>
        </w:tc>
      </w:tr>
      <w:tr>
        <w:tc>
          <w:tcPr>
            <w:tcW w:type="dxa" w:w="2493"/>
          </w:tcPr>
          <w:p>
            <w:pPr>
              <w:jc w:val="left"/>
            </w:pPr>
            <w:r/>
            <w:r>
              <w:rPr>
                <w:rFonts w:ascii="Calibri" w:hAnsi="Calibri"/>
                <w:b w:val="0"/>
                <w:sz w:val="19"/>
              </w:rPr>
              <w:t>Lagged real GDP growth (DEMAND)</w:t>
            </w:r>
          </w:p>
        </w:tc>
        <w:tc>
          <w:tcPr>
            <w:tcW w:type="dxa" w:w="2493"/>
          </w:tcPr>
          <w:p>
            <w:pPr>
              <w:jc w:val="center"/>
            </w:pPr>
            <w:r/>
            <w:r>
              <w:rPr>
                <w:rFonts w:ascii="Calibri" w:hAnsi="Calibri"/>
                <w:b w:val="0"/>
                <w:sz w:val="19"/>
              </w:rPr>
              <w:t>0.297</w:t>
            </w:r>
          </w:p>
        </w:tc>
        <w:tc>
          <w:tcPr>
            <w:tcW w:type="dxa" w:w="2493"/>
          </w:tcPr>
          <w:p>
            <w:pPr>
              <w:jc w:val="center"/>
            </w:pPr>
            <w:r/>
            <w:r>
              <w:rPr>
                <w:rFonts w:ascii="Calibri" w:hAnsi="Calibri"/>
                <w:b w:val="0"/>
                <w:sz w:val="19"/>
              </w:rPr>
              <w:t>0.300</w:t>
            </w:r>
          </w:p>
        </w:tc>
        <w:tc>
          <w:tcPr>
            <w:tcW w:type="dxa" w:w="2493"/>
          </w:tcPr>
          <w:p>
            <w:pPr>
              <w:jc w:val="center"/>
            </w:pPr>
            <w:r/>
            <w:r>
              <w:rPr>
                <w:rFonts w:ascii="Calibri" w:hAnsi="Calibri"/>
                <w:b w:val="0"/>
                <w:sz w:val="19"/>
              </w:rPr>
              <w:t>0.322</w:t>
            </w:r>
          </w:p>
        </w:tc>
      </w:tr>
      <w:tr>
        <w:tc>
          <w:tcPr>
            <w:tcW w:type="dxa" w:w="2493"/>
          </w:tcPr>
          <w:p>
            <w:pPr>
              <w:jc w:val="left"/>
            </w:pPr>
            <w:r/>
            <w:r>
              <w:rPr>
                <w:rFonts w:ascii="Calibri" w:hAnsi="Calibri"/>
                <w:b w:val="0"/>
                <w:sz w:val="19"/>
              </w:rPr>
              <w:t>Real bank rate</w:t>
            </w:r>
          </w:p>
        </w:tc>
        <w:tc>
          <w:tcPr>
            <w:tcW w:type="dxa" w:w="2493"/>
          </w:tcPr>
          <w:p>
            <w:pPr>
              <w:jc w:val="center"/>
            </w:pPr>
            <w:r/>
            <w:r>
              <w:rPr>
                <w:rFonts w:ascii="Calibri" w:hAnsi="Calibri"/>
                <w:b w:val="0"/>
                <w:sz w:val="19"/>
              </w:rPr>
              <w:t>-0.871</w:t>
            </w:r>
          </w:p>
        </w:tc>
        <w:tc>
          <w:tcPr>
            <w:tcW w:type="dxa" w:w="2493"/>
          </w:tcPr>
          <w:p>
            <w:pPr>
              <w:jc w:val="center"/>
            </w:pPr>
            <w:r/>
            <w:r>
              <w:rPr>
                <w:rFonts w:ascii="Calibri" w:hAnsi="Calibri"/>
                <w:b w:val="0"/>
                <w:sz w:val="19"/>
              </w:rPr>
              <w:t>0.582</w:t>
            </w:r>
          </w:p>
        </w:tc>
        <w:tc>
          <w:tcPr>
            <w:tcW w:type="dxa" w:w="2493"/>
          </w:tcPr>
          <w:p>
            <w:pPr>
              <w:jc w:val="center"/>
            </w:pPr>
            <w:r/>
            <w:r>
              <w:rPr>
                <w:rFonts w:ascii="Calibri" w:hAnsi="Calibri"/>
                <w:b w:val="0"/>
                <w:sz w:val="19"/>
              </w:rPr>
              <w:t>0.134</w:t>
            </w:r>
          </w:p>
        </w:tc>
      </w:tr>
      <w:tr>
        <w:tc>
          <w:tcPr>
            <w:tcW w:type="dxa" w:w="2493"/>
          </w:tcPr>
          <w:p>
            <w:pPr>
              <w:jc w:val="left"/>
            </w:pPr>
            <w:r/>
            <w:r>
              <w:rPr>
                <w:rFonts w:ascii="Calibri" w:hAnsi="Calibri"/>
                <w:b w:val="0"/>
                <w:sz w:val="19"/>
              </w:rPr>
              <w:t>Deficit, % of GDP (SIGNAL)</w:t>
            </w:r>
          </w:p>
        </w:tc>
        <w:tc>
          <w:tcPr>
            <w:tcW w:type="dxa" w:w="2493"/>
          </w:tcPr>
          <w:p>
            <w:pPr>
              <w:jc w:val="center"/>
            </w:pPr>
            <w:r/>
            <w:r>
              <w:rPr>
                <w:rFonts w:ascii="Calibri" w:hAnsi="Calibri"/>
                <w:b w:val="0"/>
                <w:sz w:val="19"/>
              </w:rPr>
              <w:t>-2.311 *</w:t>
            </w:r>
          </w:p>
        </w:tc>
        <w:tc>
          <w:tcPr>
            <w:tcW w:type="dxa" w:w="2493"/>
          </w:tcPr>
          <w:p>
            <w:pPr>
              <w:jc w:val="center"/>
            </w:pPr>
            <w:r/>
            <w:r>
              <w:rPr>
                <w:rFonts w:ascii="Calibri" w:hAnsi="Calibri"/>
                <w:b w:val="0"/>
                <w:sz w:val="19"/>
              </w:rPr>
              <w:t>0.506</w:t>
            </w:r>
          </w:p>
        </w:tc>
        <w:tc>
          <w:tcPr>
            <w:tcW w:type="dxa" w:w="2493"/>
          </w:tcPr>
          <w:p>
            <w:pPr>
              <w:jc w:val="center"/>
            </w:pPr>
            <w:r/>
            <w:r>
              <w:rPr>
                <w:rFonts w:ascii="Calibri" w:hAnsi="Calibri"/>
                <w:b w:val="0"/>
                <w:sz w:val="19"/>
              </w:rPr>
              <w:t>0.000</w:t>
            </w:r>
          </w:p>
        </w:tc>
      </w:tr>
    </w:tbl>
    <w:p>
      <w:r>
        <w:rPr>
          <w:i/>
          <w:sz w:val="17"/>
        </w:rPr>
        <w:t>N = 17;  R² = 0.521;  adj. R² = 0.410.  * = p &lt; 0.05.</w:t>
      </w:r>
    </w:p>
    <w:p/>
    <w:p>
      <w:r>
        <w:rPr>
          <w:b w:val="0"/>
          <w:i w:val="0"/>
          <w:sz w:val="21"/>
        </w:rPr>
        <w:t>The signal coefficient does not merely weaken — it flips sign and is significant in both directions (+1.67 before 2008, −2.31 after). A coefficient that reverses like this is not measuring a stable behavioural parameter; the full-sample estimate is an average of two opposite regimes.</w:t>
      </w:r>
    </w:p>
    <w:p>
      <w:pPr>
        <w:pStyle w:val="Heading2"/>
      </w:pPr>
      <w:r>
        <w:t>Test 2 — two recession years drive the entire result</w:t>
      </w:r>
    </w:p>
    <w:p>
      <w:r>
        <w:rPr>
          <w:b w:val="0"/>
          <w:i w:val="0"/>
          <w:sz w:val="21"/>
        </w:rPr>
        <w:t>This is the endogeneity trap made concrete. In 2009 and 2020 the deficit exploded and private investment collapsed — but the recession caused both. Automatic stabilisers widen the deficit in a downturn by construction, so the correlation runs recession → deficit, not deficit → lost confidence → falling investment.</w:t>
      </w:r>
    </w:p>
    <w:p>
      <w:r>
        <w:rPr>
          <w:b/>
          <w:i w:val="0"/>
          <w:sz w:val="21"/>
        </w:rPr>
        <w:t>Full sample excluding 2009 and 2020</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D9D9"/>
          </w:tcPr>
          <w:p>
            <w:pPr>
              <w:jc w:val="center"/>
            </w:pPr>
            <w:r/>
            <w:r>
              <w:rPr>
                <w:rFonts w:ascii="Calibri" w:hAnsi="Calibri"/>
                <w:b/>
                <w:sz w:val="19"/>
              </w:rPr>
              <w:t>Variable</w:t>
            </w:r>
          </w:p>
        </w:tc>
        <w:tc>
          <w:tcPr>
            <w:tcW w:type="dxa" w:w="2493"/>
            <w:shd w:fill="D9D9D9"/>
          </w:tcPr>
          <w:p>
            <w:pPr>
              <w:jc w:val="center"/>
            </w:pPr>
            <w:r/>
            <w:r>
              <w:rPr>
                <w:rFonts w:ascii="Calibri" w:hAnsi="Calibri"/>
                <w:b/>
                <w:sz w:val="19"/>
              </w:rPr>
              <w:t>Coefficient</w:t>
            </w:r>
          </w:p>
        </w:tc>
        <w:tc>
          <w:tcPr>
            <w:tcW w:type="dxa" w:w="2493"/>
            <w:shd w:fill="D9D9D9"/>
          </w:tcPr>
          <w:p>
            <w:pPr>
              <w:jc w:val="center"/>
            </w:pPr>
            <w:r/>
            <w:r>
              <w:rPr>
                <w:rFonts w:ascii="Calibri" w:hAnsi="Calibri"/>
                <w:b/>
                <w:sz w:val="19"/>
              </w:rPr>
              <w:t>HAC s.e.</w:t>
            </w:r>
          </w:p>
        </w:tc>
        <w:tc>
          <w:tcPr>
            <w:tcW w:type="dxa" w:w="2493"/>
            <w:shd w:fill="D9D9D9"/>
          </w:tcPr>
          <w:p>
            <w:pPr>
              <w:jc w:val="center"/>
            </w:pPr>
            <w:r/>
            <w:r>
              <w:rPr>
                <w:rFonts w:ascii="Calibri" w:hAnsi="Calibri"/>
                <w:b/>
                <w:sz w:val="19"/>
              </w:rPr>
              <w:t>p-value</w:t>
            </w:r>
          </w:p>
        </w:tc>
      </w:tr>
      <w:tr>
        <w:tc>
          <w:tcPr>
            <w:tcW w:type="dxa" w:w="2493"/>
          </w:tcPr>
          <w:p>
            <w:pPr>
              <w:jc w:val="left"/>
            </w:pPr>
            <w:r/>
            <w:r>
              <w:rPr>
                <w:rFonts w:ascii="Calibri" w:hAnsi="Calibri"/>
                <w:b w:val="0"/>
                <w:sz w:val="19"/>
              </w:rPr>
              <w:t>Intercept</w:t>
            </w:r>
          </w:p>
        </w:tc>
        <w:tc>
          <w:tcPr>
            <w:tcW w:type="dxa" w:w="2493"/>
          </w:tcPr>
          <w:p>
            <w:pPr>
              <w:jc w:val="center"/>
            </w:pPr>
            <w:r/>
            <w:r>
              <w:rPr>
                <w:rFonts w:ascii="Calibri" w:hAnsi="Calibri"/>
                <w:b w:val="0"/>
                <w:sz w:val="19"/>
              </w:rPr>
              <w:t>4.490</w:t>
            </w:r>
          </w:p>
        </w:tc>
        <w:tc>
          <w:tcPr>
            <w:tcW w:type="dxa" w:w="2493"/>
          </w:tcPr>
          <w:p>
            <w:pPr>
              <w:jc w:val="center"/>
            </w:pPr>
            <w:r/>
            <w:r>
              <w:rPr>
                <w:rFonts w:ascii="Calibri" w:hAnsi="Calibri"/>
                <w:b w:val="0"/>
                <w:sz w:val="19"/>
              </w:rPr>
              <w:t>2.393</w:t>
            </w:r>
          </w:p>
        </w:tc>
        <w:tc>
          <w:tcPr>
            <w:tcW w:type="dxa" w:w="2493"/>
          </w:tcPr>
          <w:p>
            <w:pPr>
              <w:jc w:val="center"/>
            </w:pPr>
            <w:r/>
            <w:r>
              <w:rPr>
                <w:rFonts w:ascii="Calibri" w:hAnsi="Calibri"/>
                <w:b w:val="0"/>
                <w:sz w:val="19"/>
              </w:rPr>
              <w:t>0.061</w:t>
            </w:r>
          </w:p>
        </w:tc>
      </w:tr>
      <w:tr>
        <w:tc>
          <w:tcPr>
            <w:tcW w:type="dxa" w:w="2493"/>
          </w:tcPr>
          <w:p>
            <w:pPr>
              <w:jc w:val="left"/>
            </w:pPr>
            <w:r/>
            <w:r>
              <w:rPr>
                <w:rFonts w:ascii="Calibri" w:hAnsi="Calibri"/>
                <w:b w:val="0"/>
                <w:sz w:val="19"/>
              </w:rPr>
              <w:t>Lagged real GDP growth (DEMAND)</w:t>
            </w:r>
          </w:p>
        </w:tc>
        <w:tc>
          <w:tcPr>
            <w:tcW w:type="dxa" w:w="2493"/>
          </w:tcPr>
          <w:p>
            <w:pPr>
              <w:jc w:val="center"/>
            </w:pPr>
            <w:r/>
            <w:r>
              <w:rPr>
                <w:rFonts w:ascii="Calibri" w:hAnsi="Calibri"/>
                <w:b w:val="0"/>
                <w:sz w:val="19"/>
              </w:rPr>
              <w:t>0.941 *</w:t>
            </w:r>
          </w:p>
        </w:tc>
        <w:tc>
          <w:tcPr>
            <w:tcW w:type="dxa" w:w="2493"/>
          </w:tcPr>
          <w:p>
            <w:pPr>
              <w:jc w:val="center"/>
            </w:pPr>
            <w:r/>
            <w:r>
              <w:rPr>
                <w:rFonts w:ascii="Calibri" w:hAnsi="Calibri"/>
                <w:b w:val="0"/>
                <w:sz w:val="19"/>
              </w:rPr>
              <w:t>0.324</w:t>
            </w:r>
          </w:p>
        </w:tc>
        <w:tc>
          <w:tcPr>
            <w:tcW w:type="dxa" w:w="2493"/>
          </w:tcPr>
          <w:p>
            <w:pPr>
              <w:jc w:val="center"/>
            </w:pPr>
            <w:r/>
            <w:r>
              <w:rPr>
                <w:rFonts w:ascii="Calibri" w:hAnsi="Calibri"/>
                <w:b w:val="0"/>
                <w:sz w:val="19"/>
              </w:rPr>
              <w:t>0.004</w:t>
            </w:r>
          </w:p>
        </w:tc>
      </w:tr>
      <w:tr>
        <w:tc>
          <w:tcPr>
            <w:tcW w:type="dxa" w:w="2493"/>
          </w:tcPr>
          <w:p>
            <w:pPr>
              <w:jc w:val="left"/>
            </w:pPr>
            <w:r/>
            <w:r>
              <w:rPr>
                <w:rFonts w:ascii="Calibri" w:hAnsi="Calibri"/>
                <w:b w:val="0"/>
                <w:sz w:val="19"/>
              </w:rPr>
              <w:t>Real bank rate</w:t>
            </w:r>
          </w:p>
        </w:tc>
        <w:tc>
          <w:tcPr>
            <w:tcW w:type="dxa" w:w="2493"/>
          </w:tcPr>
          <w:p>
            <w:pPr>
              <w:jc w:val="center"/>
            </w:pPr>
            <w:r/>
            <w:r>
              <w:rPr>
                <w:rFonts w:ascii="Calibri" w:hAnsi="Calibri"/>
                <w:b w:val="0"/>
                <w:sz w:val="19"/>
              </w:rPr>
              <w:t>-0.027</w:t>
            </w:r>
          </w:p>
        </w:tc>
        <w:tc>
          <w:tcPr>
            <w:tcW w:type="dxa" w:w="2493"/>
          </w:tcPr>
          <w:p>
            <w:pPr>
              <w:jc w:val="center"/>
            </w:pPr>
            <w:r/>
            <w:r>
              <w:rPr>
                <w:rFonts w:ascii="Calibri" w:hAnsi="Calibri"/>
                <w:b w:val="0"/>
                <w:sz w:val="19"/>
              </w:rPr>
              <w:t>0.329</w:t>
            </w:r>
          </w:p>
        </w:tc>
        <w:tc>
          <w:tcPr>
            <w:tcW w:type="dxa" w:w="2493"/>
          </w:tcPr>
          <w:p>
            <w:pPr>
              <w:jc w:val="center"/>
            </w:pPr>
            <w:r/>
            <w:r>
              <w:rPr>
                <w:rFonts w:ascii="Calibri" w:hAnsi="Calibri"/>
                <w:b w:val="0"/>
                <w:sz w:val="19"/>
              </w:rPr>
              <w:t>0.933</w:t>
            </w:r>
          </w:p>
        </w:tc>
      </w:tr>
      <w:tr>
        <w:tc>
          <w:tcPr>
            <w:tcW w:type="dxa" w:w="2493"/>
          </w:tcPr>
          <w:p>
            <w:pPr>
              <w:jc w:val="left"/>
            </w:pPr>
            <w:r/>
            <w:r>
              <w:rPr>
                <w:rFonts w:ascii="Calibri" w:hAnsi="Calibri"/>
                <w:b w:val="0"/>
                <w:sz w:val="19"/>
              </w:rPr>
              <w:t>Deficit, % of GDP (SIGNAL)</w:t>
            </w:r>
          </w:p>
        </w:tc>
        <w:tc>
          <w:tcPr>
            <w:tcW w:type="dxa" w:w="2493"/>
          </w:tcPr>
          <w:p>
            <w:pPr>
              <w:jc w:val="center"/>
            </w:pPr>
            <w:r/>
            <w:r>
              <w:rPr>
                <w:rFonts w:ascii="Calibri" w:hAnsi="Calibri"/>
                <w:b w:val="0"/>
                <w:sz w:val="19"/>
              </w:rPr>
              <w:t>-0.697</w:t>
            </w:r>
          </w:p>
        </w:tc>
        <w:tc>
          <w:tcPr>
            <w:tcW w:type="dxa" w:w="2493"/>
          </w:tcPr>
          <w:p>
            <w:pPr>
              <w:jc w:val="center"/>
            </w:pPr>
            <w:r/>
            <w:r>
              <w:rPr>
                <w:rFonts w:ascii="Calibri" w:hAnsi="Calibri"/>
                <w:b w:val="0"/>
                <w:sz w:val="19"/>
              </w:rPr>
              <w:t>0.483</w:t>
            </w:r>
          </w:p>
        </w:tc>
        <w:tc>
          <w:tcPr>
            <w:tcW w:type="dxa" w:w="2493"/>
          </w:tcPr>
          <w:p>
            <w:pPr>
              <w:jc w:val="center"/>
            </w:pPr>
            <w:r/>
            <w:r>
              <w:rPr>
                <w:rFonts w:ascii="Calibri" w:hAnsi="Calibri"/>
                <w:b w:val="0"/>
                <w:sz w:val="19"/>
              </w:rPr>
              <w:t>0.150</w:t>
            </w:r>
          </w:p>
        </w:tc>
      </w:tr>
    </w:tbl>
    <w:p>
      <w:r>
        <w:rPr>
          <w:i/>
          <w:sz w:val="17"/>
        </w:rPr>
        <w:t>N = 29;  R² = 0.333;  adj. R² = 0.253.  * = p &lt; 0.05.</w:t>
      </w:r>
    </w:p>
    <w:p/>
    <w:p>
      <w:r>
        <w:rPr>
          <w:b/>
          <w:i w:val="0"/>
          <w:sz w:val="21"/>
        </w:rPr>
        <w:t>2008 onwards, excluding 2009 and 2020</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D9D9"/>
          </w:tcPr>
          <w:p>
            <w:pPr>
              <w:jc w:val="center"/>
            </w:pPr>
            <w:r/>
            <w:r>
              <w:rPr>
                <w:rFonts w:ascii="Calibri" w:hAnsi="Calibri"/>
                <w:b/>
                <w:sz w:val="19"/>
              </w:rPr>
              <w:t>Variable</w:t>
            </w:r>
          </w:p>
        </w:tc>
        <w:tc>
          <w:tcPr>
            <w:tcW w:type="dxa" w:w="2493"/>
            <w:shd w:fill="D9D9D9"/>
          </w:tcPr>
          <w:p>
            <w:pPr>
              <w:jc w:val="center"/>
            </w:pPr>
            <w:r/>
            <w:r>
              <w:rPr>
                <w:rFonts w:ascii="Calibri" w:hAnsi="Calibri"/>
                <w:b/>
                <w:sz w:val="19"/>
              </w:rPr>
              <w:t>Coefficient</w:t>
            </w:r>
          </w:p>
        </w:tc>
        <w:tc>
          <w:tcPr>
            <w:tcW w:type="dxa" w:w="2493"/>
            <w:shd w:fill="D9D9D9"/>
          </w:tcPr>
          <w:p>
            <w:pPr>
              <w:jc w:val="center"/>
            </w:pPr>
            <w:r/>
            <w:r>
              <w:rPr>
                <w:rFonts w:ascii="Calibri" w:hAnsi="Calibri"/>
                <w:b/>
                <w:sz w:val="19"/>
              </w:rPr>
              <w:t>HAC s.e.</w:t>
            </w:r>
          </w:p>
        </w:tc>
        <w:tc>
          <w:tcPr>
            <w:tcW w:type="dxa" w:w="2493"/>
            <w:shd w:fill="D9D9D9"/>
          </w:tcPr>
          <w:p>
            <w:pPr>
              <w:jc w:val="center"/>
            </w:pPr>
            <w:r/>
            <w:r>
              <w:rPr>
                <w:rFonts w:ascii="Calibri" w:hAnsi="Calibri"/>
                <w:b/>
                <w:sz w:val="19"/>
              </w:rPr>
              <w:t>p-value</w:t>
            </w:r>
          </w:p>
        </w:tc>
      </w:tr>
      <w:tr>
        <w:tc>
          <w:tcPr>
            <w:tcW w:type="dxa" w:w="2493"/>
          </w:tcPr>
          <w:p>
            <w:pPr>
              <w:jc w:val="left"/>
            </w:pPr>
            <w:r/>
            <w:r>
              <w:rPr>
                <w:rFonts w:ascii="Calibri" w:hAnsi="Calibri"/>
                <w:b w:val="0"/>
                <w:sz w:val="19"/>
              </w:rPr>
              <w:t>Intercept</w:t>
            </w:r>
          </w:p>
        </w:tc>
        <w:tc>
          <w:tcPr>
            <w:tcW w:type="dxa" w:w="2493"/>
          </w:tcPr>
          <w:p>
            <w:pPr>
              <w:jc w:val="center"/>
            </w:pPr>
            <w:r/>
            <w:r>
              <w:rPr>
                <w:rFonts w:ascii="Calibri" w:hAnsi="Calibri"/>
                <w:b w:val="0"/>
                <w:sz w:val="19"/>
              </w:rPr>
              <w:t>2.076</w:t>
            </w:r>
          </w:p>
        </w:tc>
        <w:tc>
          <w:tcPr>
            <w:tcW w:type="dxa" w:w="2493"/>
          </w:tcPr>
          <w:p>
            <w:pPr>
              <w:jc w:val="center"/>
            </w:pPr>
            <w:r/>
            <w:r>
              <w:rPr>
                <w:rFonts w:ascii="Calibri" w:hAnsi="Calibri"/>
                <w:b w:val="0"/>
                <w:sz w:val="19"/>
              </w:rPr>
              <w:t>2.950</w:t>
            </w:r>
          </w:p>
        </w:tc>
        <w:tc>
          <w:tcPr>
            <w:tcW w:type="dxa" w:w="2493"/>
          </w:tcPr>
          <w:p>
            <w:pPr>
              <w:jc w:val="center"/>
            </w:pPr>
            <w:r/>
            <w:r>
              <w:rPr>
                <w:rFonts w:ascii="Calibri" w:hAnsi="Calibri"/>
                <w:b w:val="0"/>
                <w:sz w:val="19"/>
              </w:rPr>
              <w:t>0.482</w:t>
            </w:r>
          </w:p>
        </w:tc>
      </w:tr>
      <w:tr>
        <w:tc>
          <w:tcPr>
            <w:tcW w:type="dxa" w:w="2493"/>
          </w:tcPr>
          <w:p>
            <w:pPr>
              <w:jc w:val="left"/>
            </w:pPr>
            <w:r/>
            <w:r>
              <w:rPr>
                <w:rFonts w:ascii="Calibri" w:hAnsi="Calibri"/>
                <w:b w:val="0"/>
                <w:sz w:val="19"/>
              </w:rPr>
              <w:t>Lagged real GDP growth (DEMAND)</w:t>
            </w:r>
          </w:p>
        </w:tc>
        <w:tc>
          <w:tcPr>
            <w:tcW w:type="dxa" w:w="2493"/>
          </w:tcPr>
          <w:p>
            <w:pPr>
              <w:jc w:val="center"/>
            </w:pPr>
            <w:r/>
            <w:r>
              <w:rPr>
                <w:rFonts w:ascii="Calibri" w:hAnsi="Calibri"/>
                <w:b w:val="0"/>
                <w:sz w:val="19"/>
              </w:rPr>
              <w:t>0.747 *</w:t>
            </w:r>
          </w:p>
        </w:tc>
        <w:tc>
          <w:tcPr>
            <w:tcW w:type="dxa" w:w="2493"/>
          </w:tcPr>
          <w:p>
            <w:pPr>
              <w:jc w:val="center"/>
            </w:pPr>
            <w:r/>
            <w:r>
              <w:rPr>
                <w:rFonts w:ascii="Calibri" w:hAnsi="Calibri"/>
                <w:b w:val="0"/>
                <w:sz w:val="19"/>
              </w:rPr>
              <w:t>0.144</w:t>
            </w:r>
          </w:p>
        </w:tc>
        <w:tc>
          <w:tcPr>
            <w:tcW w:type="dxa" w:w="2493"/>
          </w:tcPr>
          <w:p>
            <w:pPr>
              <w:jc w:val="center"/>
            </w:pPr>
            <w:r/>
            <w:r>
              <w:rPr>
                <w:rFonts w:ascii="Calibri" w:hAnsi="Calibri"/>
                <w:b w:val="0"/>
                <w:sz w:val="19"/>
              </w:rPr>
              <w:t>0.000</w:t>
            </w:r>
          </w:p>
        </w:tc>
      </w:tr>
      <w:tr>
        <w:tc>
          <w:tcPr>
            <w:tcW w:type="dxa" w:w="2493"/>
          </w:tcPr>
          <w:p>
            <w:pPr>
              <w:jc w:val="left"/>
            </w:pPr>
            <w:r/>
            <w:r>
              <w:rPr>
                <w:rFonts w:ascii="Calibri" w:hAnsi="Calibri"/>
                <w:b w:val="0"/>
                <w:sz w:val="19"/>
              </w:rPr>
              <w:t>Real bank rate</w:t>
            </w:r>
          </w:p>
        </w:tc>
        <w:tc>
          <w:tcPr>
            <w:tcW w:type="dxa" w:w="2493"/>
          </w:tcPr>
          <w:p>
            <w:pPr>
              <w:jc w:val="center"/>
            </w:pPr>
            <w:r/>
            <w:r>
              <w:rPr>
                <w:rFonts w:ascii="Calibri" w:hAnsi="Calibri"/>
                <w:b w:val="0"/>
                <w:sz w:val="19"/>
              </w:rPr>
              <w:t>-0.984 *</w:t>
            </w:r>
          </w:p>
        </w:tc>
        <w:tc>
          <w:tcPr>
            <w:tcW w:type="dxa" w:w="2493"/>
          </w:tcPr>
          <w:p>
            <w:pPr>
              <w:jc w:val="center"/>
            </w:pPr>
            <w:r/>
            <w:r>
              <w:rPr>
                <w:rFonts w:ascii="Calibri" w:hAnsi="Calibri"/>
                <w:b w:val="0"/>
                <w:sz w:val="19"/>
              </w:rPr>
              <w:t>0.318</w:t>
            </w:r>
          </w:p>
        </w:tc>
        <w:tc>
          <w:tcPr>
            <w:tcW w:type="dxa" w:w="2493"/>
          </w:tcPr>
          <w:p>
            <w:pPr>
              <w:jc w:val="center"/>
            </w:pPr>
            <w:r/>
            <w:r>
              <w:rPr>
                <w:rFonts w:ascii="Calibri" w:hAnsi="Calibri"/>
                <w:b w:val="0"/>
                <w:sz w:val="19"/>
              </w:rPr>
              <w:t>0.002</w:t>
            </w:r>
          </w:p>
        </w:tc>
      </w:tr>
      <w:tr>
        <w:tc>
          <w:tcPr>
            <w:tcW w:type="dxa" w:w="2493"/>
          </w:tcPr>
          <w:p>
            <w:pPr>
              <w:jc w:val="left"/>
            </w:pPr>
            <w:r/>
            <w:r>
              <w:rPr>
                <w:rFonts w:ascii="Calibri" w:hAnsi="Calibri"/>
                <w:b w:val="0"/>
                <w:sz w:val="19"/>
              </w:rPr>
              <w:t>Deficit, % of GDP (SIGNAL)</w:t>
            </w:r>
          </w:p>
        </w:tc>
        <w:tc>
          <w:tcPr>
            <w:tcW w:type="dxa" w:w="2493"/>
          </w:tcPr>
          <w:p>
            <w:pPr>
              <w:jc w:val="center"/>
            </w:pPr>
            <w:r/>
            <w:r>
              <w:rPr>
                <w:rFonts w:ascii="Calibri" w:hAnsi="Calibri"/>
                <w:b w:val="0"/>
                <w:sz w:val="19"/>
              </w:rPr>
              <w:t>-0.143</w:t>
            </w:r>
          </w:p>
        </w:tc>
        <w:tc>
          <w:tcPr>
            <w:tcW w:type="dxa" w:w="2493"/>
          </w:tcPr>
          <w:p>
            <w:pPr>
              <w:jc w:val="center"/>
            </w:pPr>
            <w:r/>
            <w:r>
              <w:rPr>
                <w:rFonts w:ascii="Calibri" w:hAnsi="Calibri"/>
                <w:b w:val="0"/>
                <w:sz w:val="19"/>
              </w:rPr>
              <w:t>0.656</w:t>
            </w:r>
          </w:p>
        </w:tc>
        <w:tc>
          <w:tcPr>
            <w:tcW w:type="dxa" w:w="2493"/>
          </w:tcPr>
          <w:p>
            <w:pPr>
              <w:jc w:val="center"/>
            </w:pPr>
            <w:r/>
            <w:r>
              <w:rPr>
                <w:rFonts w:ascii="Calibri" w:hAnsi="Calibri"/>
                <w:b w:val="0"/>
                <w:sz w:val="19"/>
              </w:rPr>
              <w:t>0.827</w:t>
            </w:r>
          </w:p>
        </w:tc>
      </w:tr>
    </w:tbl>
    <w:p>
      <w:r>
        <w:rPr>
          <w:i/>
          <w:sz w:val="17"/>
        </w:rPr>
        <w:t>N = 15;  R² = 0.575;  adj. R² = 0.459.  * = p &lt; 0.05.</w:t>
      </w:r>
    </w:p>
    <w:p/>
    <w:p>
      <w:r>
        <w:rPr>
          <w:b/>
          <w:i w:val="0"/>
          <w:sz w:val="21"/>
        </w:rPr>
        <w:t>Removing two observations out of 31 reverses the interpretation entirely: the signal channel loses significance (p = 0.15, then p = 0.83) while the demand channel becomes strongly significant and economically large — a one-point rise in last year's GDP growth is associated with roughly a one-point rise in private investment growth.</w:t>
      </w:r>
    </w:p>
    <w:p>
      <w:r>
        <w:drawing>
          <wp:inline xmlns:a="http://schemas.openxmlformats.org/drawingml/2006/main" xmlns:pic="http://schemas.openxmlformats.org/drawingml/2006/picture">
            <wp:extent cx="5760720" cy="2513769"/>
            <wp:docPr id="1" name="Picture 1"/>
            <wp:cNvGraphicFramePr>
              <a:graphicFrameLocks noChangeAspect="1"/>
            </wp:cNvGraphicFramePr>
            <a:graphic>
              <a:graphicData uri="http://schemas.openxmlformats.org/drawingml/2006/picture">
                <pic:pic>
                  <pic:nvPicPr>
                    <pic:cNvPr id="0" name="part3_coefficient_stability.png"/>
                    <pic:cNvPicPr/>
                  </pic:nvPicPr>
                  <pic:blipFill>
                    <a:blip r:embed="rId9"/>
                    <a:stretch>
                      <a:fillRect/>
                    </a:stretch>
                  </pic:blipFill>
                  <pic:spPr>
                    <a:xfrm>
                      <a:off x="0" y="0"/>
                      <a:ext cx="5760720" cy="2513769"/>
                    </a:xfrm>
                    <a:prstGeom prst="rect"/>
                  </pic:spPr>
                </pic:pic>
              </a:graphicData>
            </a:graphic>
          </wp:inline>
        </w:drawing>
      </w:r>
    </w:p>
    <w:p>
      <w:pPr>
        <w:jc w:val="center"/>
      </w:pPr>
      <w:r>
        <w:rPr>
          <w:i/>
          <w:sz w:val="17"/>
        </w:rPr>
        <w:t>Figure: coefficient stability across specifications. The demand coefficient is positive throughout and tightens as crisis outliers are removed; the signal coefficient swings from +1.67 to −2.31 and collapses toward zero without them.</w:t>
      </w:r>
    </w:p>
    <w:p>
      <w:r>
        <w:br w:type="page"/>
      </w:r>
    </w:p>
    <w:p>
      <w:pPr>
        <w:pStyle w:val="Heading2"/>
      </w:pPr>
      <w:r>
        <w:t>Which stable does the evidence favour?</w:t>
      </w:r>
    </w:p>
    <w:p>
      <w:r>
        <w:rPr>
          <w:b/>
          <w:i w:val="0"/>
          <w:sz w:val="21"/>
        </w:rPr>
        <w:t>On balance the demand (LABOUR/ILO) channel — but with real qualifications, and the honest answer is that the evidence is mixed in a specific, diagnosable way.</w:t>
      </w:r>
    </w:p>
    <w:p>
      <w:r>
        <w:rPr>
          <w:b w:val="0"/>
          <w:i w:val="0"/>
          <w:sz w:val="21"/>
        </w:rPr>
        <w:t>The case for demand: β₁ is positive in every specification run, and becomes significant precisely when the observations most contaminated by reverse causation are removed. That is the pattern expected from a real relationship obscured by noise, not one manufactured by it.</w:t>
      </w:r>
    </w:p>
    <w:p>
      <w:r>
        <w:rPr>
          <w:b w:val="0"/>
          <w:i w:val="0"/>
          <w:sz w:val="21"/>
        </w:rPr>
        <w:t>The case against over-claiming it: β₁ is not significant on the full sample (p = 0.18), and it depends on the GDP series used. Re-running with Boshoff &amp; Fourie's factor-cost GDP gives β₁ = 0.264 (p = 0.774) — nothing survives. That is a genuine fragility: the demand result holds on SARB market-price GDP and vanishes on B&amp;F factor-cost GDP over a shorter (1994–2018) sample, and the shorter sample cannot be cleanly separated from the definitional switch.</w:t>
      </w:r>
    </w:p>
    <w:p>
      <w:r>
        <w:rPr>
          <w:b/>
          <w:i w:val="0"/>
          <w:sz w:val="21"/>
        </w:rPr>
        <w:t>What can be said with more confidence is the negative finding: there is no robust evidence for the confidence channel GEAR was built on. The one specification where the signal channel is significant with GEAR's predicted sign is also the one most obviously contaminated by recession-driven simultaneity, and it does not survive removing two outlier years. GEAR's central bet — that consolidation would signal credibility and thereby unlock private investment — is not supported here, consistent with Part 2's finding that South Africa delivered the consolidation without ever once hitting an investment target.</w:t>
      </w:r>
    </w:p>
    <w:p>
      <w:r>
        <w:rPr>
          <w:b w:val="0"/>
          <w:i w:val="0"/>
          <w:sz w:val="21"/>
        </w:rPr>
        <w:t>The pre-2008 positive deficit coefficient (+1.67) deserves a note rather than a celebration. It has the demand sign, but 1994–2007 is exactly when deficits were shrinking while investment was rising, so a positive coefficient is as easily read as coincident trends as causation. With N = 14 and no instrument, it cannot bear weight.</w:t>
      </w:r>
    </w:p>
    <w:p>
      <w:pPr>
        <w:pStyle w:val="Heading2"/>
      </w:pPr>
      <w:r>
        <w:t>Does the answer change if you split at 1994, or at 2008?</w:t>
      </w:r>
    </w:p>
    <w:p>
      <w:r>
        <w:rPr>
          <w:b w:val="0"/>
          <w:i w:val="0"/>
          <w:sz w:val="21"/>
        </w:rPr>
        <w:t>At 2008: yes, decisively — the Chow test rejects stability and the signal coefficient reverses sign. This is the most informative single result in Part 3.</w:t>
      </w:r>
    </w:p>
    <w:p>
      <w:r>
        <w:rPr>
          <w:b w:val="0"/>
          <w:i w:val="0"/>
          <w:sz w:val="21"/>
        </w:rPr>
        <w:t>At 1994: the split cannot be run. The supplied deficit and policy-rate series both begin in 1994, so there are zero pre-1994 observations for two of the three regressors. This is a data-availability limit, not a modelling choice, and is reported as not estimable rather than approximated with a different specification presented as the requested test.</w:t>
      </w:r>
    </w:p>
    <w:p>
      <w:pPr>
        <w:pStyle w:val="Heading2"/>
      </w:pPr>
      <w:r>
        <w:t>Limitations</w:t>
      </w:r>
    </w:p>
    <w:p>
      <w:pPr>
        <w:pStyle w:val="ListBullet"/>
      </w:pPr>
      <w:r>
        <w:rPr>
          <w:sz w:val="20"/>
        </w:rPr>
        <w:t>Endogeneity is diagnosed, not solved. Investment, growth and the deficit are jointly determined; no instrument is used, so no coefficient here can be read as causal. The crisis-year exercise shows which results are most contaminated by simultaneity — a weaker but honest claim.</w:t>
      </w:r>
    </w:p>
    <w:p>
      <w:pPr>
        <w:pStyle w:val="ListBullet"/>
      </w:pPr>
      <w:r>
        <w:rPr>
          <w:sz w:val="20"/>
        </w:rPr>
        <w:t>N = 31, with sub-samples of 14 and 17. Power is low and the sub-sample results should be read as suggestive.</w:t>
      </w:r>
    </w:p>
    <w:p>
      <w:pPr>
        <w:pStyle w:val="ListBullet"/>
      </w:pPr>
      <w:r>
        <w:rPr>
          <w:sz w:val="20"/>
        </w:rPr>
        <w:t>The dependent variable's definition is not fully verified: the private investment series carries no source or series code. Its 2009/2020 contraction magnitudes are consistent with a private-only series, but that is corroboration, not confirmation.</w:t>
      </w:r>
    </w:p>
    <w:p>
      <w:pPr>
        <w:pStyle w:val="ListBullet"/>
      </w:pPr>
      <w:r>
        <w:rPr>
          <w:sz w:val="20"/>
        </w:rPr>
        <w:t>GDP vintage matters to the answer. The demand result holds on SARB market-price GDP and does not hold on Boshoff &amp; Fourie factor-cost GDP. Both are reported.</w:t>
      </w:r>
    </w:p>
    <w:p>
      <w:pPr>
        <w:pStyle w:val="ListBullet"/>
      </w:pPr>
      <w:r>
        <w:rPr>
          <w:sz w:val="20"/>
        </w:rPr>
        <w:t>The real rate is ex-post (nominal minus realised CPI), following Nattrass's own construction, not an ex-ante rate using inflation expectations.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