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4 — The Counterfactual: What Would Have Had to Be True for the LABOUR/ILO Strategy to Have Worked?</w:t>
      </w:r>
    </w:p>
    <w:p>
      <w:r>
        <w:rPr>
          <w:sz w:val="22"/>
        </w:rPr>
        <w:t>The LABOUR/ILO strategy was not merely ‘spend more’. It was a conditional bet, and the conditions were parameters. Four had to hold jointly.</w:t>
      </w:r>
    </w:p>
    <w:p>
      <w:r>
        <w:rPr>
          <w:b/>
          <w:sz w:val="22"/>
        </w:rPr>
        <w:t xml:space="preserve">1. A large accelerator, and a demand impulse big enough to trigger it. </w:t>
      </w:r>
      <w:r>
        <w:rPr>
          <w:sz w:val="22"/>
        </w:rPr>
        <w:t>The strategy required private investment to respond strongly to demand rather than to fiscal signals. Nattrass herself notes Chirinko’s (1993:1883) finding that lagged demand is the single most significant empirical determinant of investment, so this was the better-supported prior even in 1996. My Part 3 estimates are consistent with it: excluding the 2009 and 2020 recessions, a one-point rise in lagged GDP growth is associated with a 0.75–0.94 point rise in real private investment growth (p &lt; 0.01), while the deficit coefficient loses significance entirely. On this parameter the subsequent evidence broadly supports LABOUR/ILO — though the result is fragile to GDP vintage, and no coefficient here is causal.</w:t>
      </w:r>
    </w:p>
    <w:p>
      <w:r>
        <w:rPr>
          <w:b/>
          <w:sz w:val="22"/>
        </w:rPr>
        <w:t xml:space="preserve">2. Employment elasticity high enough to convert growth into jobs. </w:t>
      </w:r>
      <w:r>
        <w:rPr>
          <w:sz w:val="22"/>
        </w:rPr>
        <w:t>Redistribution required demand-led growth to be labour-absorbing. The 2001–2006 evidence is more favourable than the standard ‘jobless growth’ story allows: formal non-agricultural employment grew 1.9–4.5% a year through that expansion, briefly beating GEAR’s own 4.3% target in 2006. Demand-led growth did create formal jobs when it arrived. But Nattrass’s warning cuts against reading too much into this: rising average labour productivity — pursued deliberately under ‘high productivity now’ industrial and wage policy — mechanically lowers the employment elasticity of output. The strategy needed labour-demanding growth while its own allies were bargaining for the wage floors that discourage it. Actual real wage growth in 1996–99 (1.7, 2.3, 8.6, 3.0%) massively exceeded GEAR’s assumed path (−0.5, 1.0, 1.0, 1.0%), and formal employment fell every one of those years. That is the internal contradiction Nattrass identified, and it is unresolved.</w:t>
      </w:r>
    </w:p>
    <w:p>
      <w:r>
        <w:rPr>
          <w:b/>
          <w:sz w:val="22"/>
        </w:rPr>
        <w:t xml:space="preserve">3. No punitive capital-account response. </w:t>
      </w:r>
      <w:r>
        <w:rPr>
          <w:sz w:val="22"/>
        </w:rPr>
        <w:t>This is where Nattrass criticises LABOUR/ILO most sharply, and where the counterfactual is weakest. The strategy assumed policy autonomy that an open capital account does not grant. A deficit-financed expansion only works if the risk premium and capital outflow response to fiscal divergence are small. South Africa’s subsequent history says they are not: the 2001 currency collapse, the 2008 reversal, and the post-2020 debt trajectory all show how quickly financing conditions tighten. Nattrass’s contrast with the East Asian economies is decisive here — Malaysia and Thailand could run large deficits because they had mobilised deep domestic savings pools and were therefore ‘less prone to destabilising capital flight’. South Africa’s savings rate was, and remains, low. The same deficit is simply a different instrument in a low-savings, open-capital-account economy.</w:t>
      </w:r>
    </w:p>
    <w:p>
      <w:r>
        <w:rPr>
          <w:b/>
          <w:sz w:val="22"/>
        </w:rPr>
        <w:t xml:space="preserve">4. A demand expansion that does not destabilise. </w:t>
      </w:r>
      <w:r>
        <w:rPr>
          <w:sz w:val="22"/>
        </w:rPr>
        <w:t>Nattrass is explicit that the demand–investment relationship has a limit: if expansion undermines macroeconomic balance through inflation and depreciation, profitability is threatened and investment falls rather than rises. Latin American macroeconomic populism is her counter-example. So LABOUR/ILO needed to be right not only that demand drives investment, but that it could deliver demand without triggering the instability that destroys it — a narrow path.</w:t>
      </w:r>
    </w:p>
    <w:p>
      <w:r>
        <w:rPr>
          <w:b/>
          <w:sz w:val="22"/>
        </w:rPr>
        <w:t xml:space="preserve">Verdict. </w:t>
      </w:r>
      <w:r>
        <w:rPr>
          <w:sz w:val="22"/>
        </w:rPr>
        <w:t>The counterfactual is not ‘LABOUR/ILO would have worked’. It is that LABOUR/ILO was right about the mechanism GEAR got wrong — investment follows demand, not fiscal signalling — while being wrong, or at least unserious, about the constraint GEAR took seriously. Nattrass’s criticism of both camps survives my own evidence intact: GEAR bet on a confidence channel my regressions cannot find, and LABOUR/ILO bet on policy space that globalisation and a low savings rate did not provide.</w:t>
      </w:r>
    </w:p>
    <w:p>
      <w:r>
        <w:rPr>
          <w:i/>
          <w:sz w:val="18"/>
        </w:rPr>
        <w:t>(575 words, excluding title and references — within the 600-word limit.)</w:t>
      </w:r>
    </w:p>
    <w:p>
      <w:pPr>
        <w:pStyle w:val="Heading2"/>
      </w:pPr>
      <w:r>
        <w:t>References</w:t>
      </w:r>
    </w:p>
    <w:p>
      <w:r>
        <w:rPr>
          <w:sz w:val="19"/>
        </w:rPr>
        <w:t>Chirinko, R. (1993) ‘Business fixed investment spending: modeling strategies, empirical results and policy implications’, Journal of Economic Literature 31. (Cited in Nattrass 2001.)</w:t>
      </w:r>
    </w:p>
    <w:p>
      <w:r>
        <w:rPr>
          <w:sz w:val="19"/>
        </w:rPr>
        <w:t>Nattrass, N. (1996) ‘Gambling on investment: competing economic strategies in South Africa’, Transformation 31, 25–42.</w:t>
      </w:r>
    </w:p>
    <w:p>
      <w:r>
        <w:rPr>
          <w:sz w:val="19"/>
        </w:rPr>
        <w:t>Nattrass, N. (2001) ‘High productivity now: a critical review of South Africa’s growth strategy’, Transformation 45.</w:t>
      </w:r>
    </w:p>
    <w:p>
      <w:r>
        <w:rPr>
          <w:sz w:val="19"/>
        </w:rPr>
        <w:t>South Africa (1996) Growth, Employment and Redistribution: a macroeconomic strategy. Pretoria: Department of Finance.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