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52"/>
          <w:szCs w:val="52"/>
          <w:rtl w:val="0"/>
        </w:rPr>
        <w:t xml:space="preserve">NGOC 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sz w:val="22"/>
          <w:szCs w:val="22"/>
          <w:rtl w:val="0"/>
        </w:rPr>
        <w:t xml:space="preserve">AI Product Leader  |  Fintech  |  Voice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b7280"/>
          <w:sz w:val="20"/>
          <w:szCs w:val="20"/>
          <w:rtl w:val="0"/>
        </w:rPr>
        <w:t xml:space="preserve">lelubaongoc1993@gmail.com  |  (+84) 372209317  |  linkedin.com/in/ngoclule  |  Vietnam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80" w:before="1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f2937"/>
          <w:sz w:val="21"/>
          <w:szCs w:val="21"/>
          <w:rtl w:val="0"/>
        </w:rPr>
        <w:t xml:space="preserve">10+ years across AI, fintech, and digital platforms in SEA and global markets. Co-built and commercialised an AI Voice Agent for post-charge-off debt collection — from product thesis through 5-market client development to live US production. Deep expertise in regulated AI product delivery, multi-vendor architectures, and 0→1 execution. Prior: strategy and transaction advisory at EY Singapore; product leadership at ZaloPay (VNG) and Shopee (SEA).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KEY ACHIEVEMENTS &amp; IMPACT HIGHLIGHTS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AI Payment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1.7x payments  |  5.2x revenue uplift within 30 days of rollout — AI Payment Conversion optimisation, US market production.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Market Development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6-market client pipeline from zero (AU, PH, IN, VN, US) — co-authored all RFP, DD, and pilot materials; 2 US clients live for 7 months.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Fintech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30% lead-to-application conversion uplift  |  20% previously unserved leads unlocked via telco scoring integration — consumer lending fintech.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AI Voice Agent |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0→1 AI Voice Agent — thesis to live US deployment; industry-first real-time streaming telephony emotion detection in debt collection.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AI Payment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$52K plan amount  |  1.3x weekly payment plans — within 3 months post-rollout, across multi-vendor US compliance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EY Singapore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2 cross-border fintech DDs — Technology and Commercial due diligence for global PE and sovereign fund clients; one transaction ~$300M investment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ZaloPay 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4x faster bank integration — workflow redesign at ZaloPay accelerating partner time-to-revenue.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4"/>
          <w:szCs w:val="24"/>
          <w:rtl w:val="0"/>
        </w:rPr>
        <w:t xml:space="preserve">Trusting Social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 |  Vietnam </w:t>
      </w: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20"/>
          <w:szCs w:val="20"/>
          <w:rtl w:val="0"/>
        </w:rPr>
        <w:t xml:space="preserve">Jun 2021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Product Manager — Fintech &amp;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AI Voice Agent — Product Strategy &amp; Market Development (Aug 2023 – Present)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Co-architected with the Product Director the product thesis and market selection framework — authoring 80% of the analysis and materials that positioned AI Voice Agent in post-charge-off debt collection over competing verticals (Customer Support, CRM, Investment Advisory).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Co-designed the client development strategy across 6 markets alongside the Product Director — owning the majority of RFP responses, DD materials, and product documentation at each pipeline stage: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84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RFP → DD stage: Australia (CBA), Philippines (Home Credit PH), India (HDFC)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84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RFP → Pilot: Vietnam (TPBank)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84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0"/>
          <w:szCs w:val="20"/>
          <w:u w:val="none"/>
          <w:shd w:fill="auto" w:val="clear"/>
          <w:vertAlign w:val="baseline"/>
          <w:rtl w:val="0"/>
        </w:rPr>
        <w:t xml:space="preserve">RFP → Production: US (Republic Finance &amp; Unity Asset Management) — 7 months of live commercial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Voice Agent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Conversation Design &amp; AI Product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AI Payment | Drove payment conversion optimisation — delivering 1.7x payment success and 5.2x revenue uplift within 30 days of rollout, through root cause analysis, severity mapping, and prioritised sequencing across the conversation states.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AI Payment | Delivered AI Payment capability generating $52K in completed plan amounts and 1.3x weekly payment plans within 3 months post-rollout — coordinating Engineering, Voice-Data Science, and State Machine-Data Science teams in complying with US debt collection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Contextualisation | Identified 40% of inbound calls had classifiable intent — redesigned verification flow to be context-aware, lifting right-person-contact verification success by 9 percentage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Contextualisation | Designed Intelligent Call History Analysis (personalised guidance from prior call context) and Dynamic Hardship Detection (adaptive settlement pathways at global level) — embedding contextual intelligence to gain higher promise-to-payment conversion 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Emotional Intelligence | Owned full R&amp;D-to-UAT delivery of Emotional Speech capability — designed the dataset labelling framework, integrated real-time streaming TTS, and validated production readiness. Industry-first application of real-time streaming telephony emotion detection in debt collection voice 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AI Voice Agent —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Operational Excellence &amp; Cross-Functional Leadership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Applied rigorous 80/20 prioritisation across competing epics — trade-off decisions consistently backed by data and communicated transparently to 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Coordinated 3 engineering sub-teams plus Operations across simultaneous sprints; structured complex epics into parallel workstreams to protect critical path and reduce cycle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Onboarded and trained 3 new team members; established documentation standards embedding business rationale into all product specifications.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Fintech Product — Loan &amp; Card Acquisition (Jun 2021 – Jul 2023)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Digital Acquisition &amp; Conversion | Owned conversion performance across the digital lead acquisition and onboarding journey for consumer lending (loan and bank card) — managing Google/Facebook paid sources and top-tier Vietnamese retail partner channels through an integrated eKYC and credit scoring pipeline. Improved lead-to-application conversion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Partner &amp; Data Integration | Integrated one of Vietnam's three largest telcos as a native credit scoring data source — coordinating across product, engineering, and telco technical teams to embed the new signal into the existing onboarding flow. Unlocked auto credit scoring for 20% of previously unserved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0→1 Product Build | Built the first B2B2C loyalty management app for partnership card and loan products from zero — defining scope, designing voucher issuance flows (input, output, inventory), and launching within 5 months. Reached 5 active partnership sources within 3 months, contributing 40% of total credit product conversions.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4"/>
          <w:szCs w:val="24"/>
          <w:rtl w:val="0"/>
        </w:rPr>
        <w:t xml:space="preserve">Ernst &amp; Young LLP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 |  Singapore</w:t>
      </w: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20"/>
          <w:szCs w:val="20"/>
          <w:rtl w:val="0"/>
        </w:rPr>
        <w:t xml:space="preserve">Nov 2018 – Dec 2020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Senior Consultant — Strategy &amp;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8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Transaction Advisory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60" w:before="60" w:lineRule="auto"/>
        <w:ind w:left="480" w:hanging="240"/>
      </w:pPr>
      <w:r w:rsidDel="00000000" w:rsidR="00000000" w:rsidRPr="00000000">
        <w:rPr>
          <w:sz w:val="21"/>
          <w:szCs w:val="21"/>
          <w:rtl w:val="0"/>
        </w:rPr>
        <w:t xml:space="preserve">Primary technology analyst for a DD on a leading ASEAN payment processor for a global fintech sovereign fund — assessed platform architecture, scalability risk, vendor dependencies, and integration readiness.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60" w:before="60" w:lineRule="auto"/>
        <w:ind w:left="480" w:hanging="240"/>
      </w:pPr>
      <w:r w:rsidDel="00000000" w:rsidR="00000000" w:rsidRPr="00000000">
        <w:rPr>
          <w:sz w:val="21"/>
          <w:szCs w:val="21"/>
          <w:rtl w:val="0"/>
        </w:rPr>
        <w:t xml:space="preserve">Contributed Commercial, Technology, and Operations analysis for a DD on a Vietnamese payments platform for a global PE firm — produced the underlying research feeding into the senior team's transaction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Strategy Engagements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Primary analytical contributor on InsurTech market entry assessment for a Japanese conglomerate in Myanmar — competitive landscape, regulatory feasibility, and distribution model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Built financial modelling and scenario analysis for a Korean bank's Vietnam consumer lending diversification strategy — projections across regulatory headwind and margin pressure scenarios.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Performed diagnostic research for a corporate governance assessment of a Vietnamese bank — synthesising root causes of multi-year underperformance into findings that informed board-level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4"/>
          <w:szCs w:val="24"/>
          <w:rtl w:val="0"/>
        </w:rPr>
        <w:t xml:space="preserve">ZaloPay — VNG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 |  Vietnam</w:t>
      </w: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20"/>
          <w:szCs w:val="20"/>
          <w:rtl w:val="0"/>
        </w:rPr>
        <w:t xml:space="preserve">Aug 2017 – Oct 2018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Product Owner — Bank Integration &amp; Cashflow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Owned the product roadmap across two pillars — Bank Integration and Cashflow — managing a cross-functional squad of 10 (Business, Engineering, Design, Risk, Compliance, Marketing).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Bank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Redesigned the bank integration workflow — reducing integration time by 4x and accelerating partner time-to-revenue.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Ran competitive analysis on funding partnerships with the Bank Partnership team, informing strategic selection of integrations that strengthened e-wallet funding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60" w:before="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Cashflow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Diagnosed structural weaknesses across cash-in, cash-out, and cash-circulation flows — identifying UX and incentive friction suppressing user retention and balance holding.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Analysed funding source performance to redesign the partnership mix, improving cost efficiency and reliability across ZaloPay's core financial 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4"/>
          <w:szCs w:val="24"/>
          <w:rtl w:val="0"/>
        </w:rPr>
        <w:t xml:space="preserve">Shopee — Sea Group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 |  Vietnam</w:t>
      </w: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20"/>
          <w:szCs w:val="20"/>
          <w:rtl w:val="0"/>
        </w:rPr>
        <w:t xml:space="preserve">Aug 2016 – Jul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Product Operations Specialist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Built and institutionalised the Incident Management and Product Launch Process for Vietnam — establishing escalation paths, severity tiers, and cross-regional coordination protocols adopted as the operational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Primary Vietnam-side interface for regional product decisions — triaging incidents, proposing resolutions, and advocating Vietnam-specific enhancements to the Singapore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Executed full-cycle functional and usability testing for all Vietnam-market releases prior to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4"/>
          <w:szCs w:val="24"/>
          <w:rtl w:val="0"/>
        </w:rPr>
        <w:t xml:space="preserve">HelloPay (Alibaba Group)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 |  Vietnam</w:t>
      </w: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20"/>
          <w:szCs w:val="20"/>
          <w:rtl w:val="0"/>
        </w:rPr>
        <w:t xml:space="preserve">Mar 2015 – May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Product Intern — Marketing, Risk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Authored user stories, flow diagrams, and wireframes; coordinated cross-functional input across Business, Operations, Risk &amp; Compliance, and Marketing to inform product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right" w:leader="none" w:pos="9360"/>
        </w:tabs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4"/>
          <w:szCs w:val="24"/>
          <w:rtl w:val="0"/>
        </w:rPr>
        <w:t xml:space="preserve">Advance Vision Technology</w:t>
      </w: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  |  Vietnam</w:t>
      </w: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20"/>
          <w:szCs w:val="20"/>
          <w:rtl w:val="0"/>
        </w:rPr>
        <w:t xml:space="preserve">Sep 2014 – Oct 2015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Project Coordinator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Managed 10+ software outsourcing projects across Vietnam, Australia, and Shanghai — maintaining schedule integrity and client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2937"/>
          <w:sz w:val="21"/>
          <w:szCs w:val="21"/>
          <w:u w:val="none"/>
          <w:shd w:fill="auto" w:val="clear"/>
          <w:vertAlign w:val="baseline"/>
          <w:rtl w:val="0"/>
        </w:rPr>
        <w:t xml:space="preserve">Improved resource utilisation from 50% to 80% through capacity planning and workstream allocation.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d4ed8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right" w:leader="none" w:pos="9360"/>
        </w:tabs>
        <w:spacing w:after="4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2937"/>
          <w:sz w:val="21"/>
          <w:szCs w:val="21"/>
          <w:rtl w:val="0"/>
        </w:rPr>
        <w:t xml:space="preserve">RMIT International University</w:t>
      </w:r>
      <w:r w:rsidDel="00000000" w:rsidR="00000000" w:rsidRPr="00000000">
        <w:rPr>
          <w:rFonts w:ascii="Arial" w:cs="Arial" w:eastAsia="Arial" w:hAnsi="Arial"/>
          <w:color w:val="6b7280"/>
          <w:sz w:val="21"/>
          <w:szCs w:val="21"/>
          <w:rtl w:val="0"/>
        </w:rPr>
        <w:t xml:space="preserve">  |  Bachelor of Business Information Systems, Economics &amp; Finance</w:t>
      </w:r>
      <w:r w:rsidDel="00000000" w:rsidR="00000000" w:rsidRPr="00000000">
        <w:rPr>
          <w:rFonts w:ascii="Arial" w:cs="Arial" w:eastAsia="Arial" w:hAnsi="Arial"/>
          <w:i w:val="1"/>
          <w:iCs w:val="1"/>
          <w:color w:val="9ca3af"/>
          <w:sz w:val="20"/>
          <w:szCs w:val="20"/>
          <w:rtl w:val="0"/>
        </w:rPr>
        <w:t xml:space="preserve">Vietnam,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·"/>
      <w:lvlJc w:val="left"/>
      <w:pPr>
        <w:ind w:left="84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2937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