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858008">
      <w:pPr>
        <w:spacing w:after="0" w:line="480" w:lineRule="auto"/>
        <w:jc w:val="center"/>
      </w:pPr>
      <w:bookmarkStart w:id="21" w:name="_GoBack"/>
      <w:bookmarkEnd w:id="21"/>
      <w:r>
        <w:rPr>
          <w:rFonts w:ascii="Times New Roman" w:hAnsi="Times New Roman" w:eastAsia="Times New Roman"/>
          <w:b/>
          <w:i w:val="0"/>
          <w:sz w:val="24"/>
        </w:rPr>
        <w:t>Desarrollo de una aplicación web para gestión de punto de venta</w:t>
      </w:r>
    </w:p>
    <w:p w14:paraId="715E806B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Proyecto 2 - Equipo 5</w:t>
      </w:r>
    </w:p>
    <w:p w14:paraId="2C842B60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Caleb Hernández Vega, Sebastián Cordero, Josué Delgado Corrales y Alejandro Porras</w:t>
      </w:r>
    </w:p>
    <w:p w14:paraId="728F499A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Universidad de Costa Rica</w:t>
      </w:r>
    </w:p>
    <w:p w14:paraId="523D6CF1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Lenguajes para Aplicaciones Comerciales</w:t>
      </w:r>
    </w:p>
    <w:p w14:paraId="15A0483F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2 de julio de 2026</w:t>
      </w:r>
    </w:p>
    <w:p w14:paraId="1E02F4CD">
      <w:r>
        <w:br w:type="page"/>
      </w:r>
    </w:p>
    <w:p w14:paraId="4C843C78">
      <w:pPr>
        <w:spacing w:after="0" w:line="48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de contenido</w:t>
      </w:r>
    </w:p>
    <w:p w14:paraId="6F0FCFFD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_Toc27630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Resumen</w:t>
      </w:r>
      <w:r>
        <w:tab/>
      </w:r>
      <w:r>
        <w:fldChar w:fldCharType="begin"/>
      </w:r>
      <w:r>
        <w:instrText xml:space="preserve"> PAGEREF _Toc27630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2C7C43C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_Toc13850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Integrantes</w:t>
      </w:r>
      <w:r>
        <w:tab/>
      </w:r>
      <w:r>
        <w:fldChar w:fldCharType="begin"/>
      </w:r>
      <w:r>
        <w:instrText xml:space="preserve"> PAGEREF _Toc13850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34F3EAA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_Toc9223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Trazabilidad Git y aportes verificables</w:t>
      </w:r>
      <w:r>
        <w:tab/>
      </w:r>
      <w:r>
        <w:fldChar w:fldCharType="begin"/>
      </w:r>
      <w:r>
        <w:instrText xml:space="preserve"> PAGEREF _Toc9223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8DC856E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_Toc2851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Objetivos</w:t>
      </w:r>
      <w:r>
        <w:tab/>
      </w:r>
      <w:r>
        <w:fldChar w:fldCharType="begin"/>
      </w:r>
      <w:r>
        <w:instrText xml:space="preserve"> PAGEREF _Toc2851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813ACB1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_Toc16540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Objetivo general</w:t>
      </w:r>
      <w:r>
        <w:tab/>
      </w:r>
      <w:r>
        <w:fldChar w:fldCharType="begin"/>
      </w:r>
      <w:r>
        <w:instrText xml:space="preserve"> PAGEREF _Toc16540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04F0E2F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_Toc10101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Objetivos específicos</w:t>
      </w:r>
      <w:r>
        <w:tab/>
      </w:r>
      <w:r>
        <w:fldChar w:fldCharType="begin"/>
      </w:r>
      <w:r>
        <w:instrText xml:space="preserve"> PAGEREF _Toc10101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6F7757B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_Toc17931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Especificación de la necesidad</w:t>
      </w:r>
      <w:r>
        <w:tab/>
      </w:r>
      <w:r>
        <w:fldChar w:fldCharType="begin"/>
      </w:r>
      <w:r>
        <w:instrText xml:space="preserve"> PAGEREF _Toc17931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AF1010C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_Toc30233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Arquitectura</w:t>
      </w:r>
      <w:r>
        <w:tab/>
      </w:r>
      <w:r>
        <w:fldChar w:fldCharType="begin"/>
      </w:r>
      <w:r>
        <w:instrText xml:space="preserve"> PAGEREF _Toc30233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DF7AA52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_Toc29421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API RESTful desarrollada</w:t>
      </w:r>
      <w:r>
        <w:tab/>
      </w:r>
      <w:r>
        <w:fldChar w:fldCharType="begin"/>
      </w:r>
      <w:r>
        <w:instrText xml:space="preserve"> PAGEREF _Toc29421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79439AD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_Toc1069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Modelo entidad-relación</w:t>
      </w:r>
      <w:r>
        <w:tab/>
      </w:r>
      <w:r>
        <w:fldChar w:fldCharType="begin"/>
      </w:r>
      <w:r>
        <w:instrText xml:space="preserve"> PAGEREF _Toc1069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A69969A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_Toc27943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Modelo de dominio</w:t>
      </w:r>
      <w:r>
        <w:tab/>
      </w:r>
      <w:r>
        <w:fldChar w:fldCharType="begin"/>
      </w:r>
      <w:r>
        <w:instrText xml:space="preserve"> PAGEREF _Toc27943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67114C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_Toc56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Funcionalidades implementadas</w:t>
      </w:r>
      <w:r>
        <w:tab/>
      </w:r>
      <w:r>
        <w:fldChar w:fldCharType="begin"/>
      </w:r>
      <w:r>
        <w:instrText xml:space="preserve"> PAGEREF _Toc56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61BA116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_Toc12411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CRUD de cuentas bancarias</w:t>
      </w:r>
      <w:r>
        <w:tab/>
      </w:r>
      <w:r>
        <w:fldChar w:fldCharType="begin"/>
      </w:r>
      <w:r>
        <w:instrText xml:space="preserve"> PAGEREF _Toc12411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7C124D0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_Toc10495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Registro de orden</w:t>
      </w:r>
      <w:r>
        <w:tab/>
      </w:r>
      <w:r>
        <w:fldChar w:fldCharType="begin"/>
      </w:r>
      <w:r>
        <w:instrText xml:space="preserve"> PAGEREF _Toc10495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842EE5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_Toc4726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Manejo transaccional</w:t>
      </w:r>
      <w:r>
        <w:tab/>
      </w:r>
      <w:r>
        <w:fldChar w:fldCharType="begin"/>
      </w:r>
      <w:r>
        <w:instrText xml:space="preserve"> PAGEREF _Toc4726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11B9753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_Toc20536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Pruebas</w:t>
      </w:r>
      <w:r>
        <w:tab/>
      </w:r>
      <w:r>
        <w:fldChar w:fldCharType="begin"/>
      </w:r>
      <w:r>
        <w:instrText xml:space="preserve"> PAGEREF _Toc20536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95972A5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_Toc3824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Accesibilidad, Ley N.° 7600 y criterios WCAG</w:t>
      </w:r>
      <w:r>
        <w:tab/>
      </w:r>
      <w:r>
        <w:fldChar w:fldCharType="begin"/>
      </w:r>
      <w:r>
        <w:instrText xml:space="preserve"> PAGEREF _Toc3824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73BB98F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_Toc30597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Conclusiones</w:t>
      </w:r>
      <w:r>
        <w:tab/>
      </w:r>
      <w:r>
        <w:fldChar w:fldCharType="begin"/>
      </w:r>
      <w:r>
        <w:instrText xml:space="preserve"> PAGEREF _Toc30597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E9AA181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_Toc27005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Bitácora</w:t>
      </w:r>
      <w:r>
        <w:tab/>
      </w:r>
      <w:r>
        <w:fldChar w:fldCharType="begin"/>
      </w:r>
      <w:r>
        <w:instrText xml:space="preserve"> PAGEREF _Toc27005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1E19D89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_Toc673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Anexos</w:t>
      </w:r>
      <w:r>
        <w:tab/>
      </w:r>
      <w:r>
        <w:fldChar w:fldCharType="begin"/>
      </w:r>
      <w:r>
        <w:instrText xml:space="preserve"> PAGEREF _Toc673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C041EF9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_Toc21377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Referencias</w:t>
      </w:r>
      <w:r>
        <w:tab/>
      </w:r>
      <w:r>
        <w:fldChar w:fldCharType="begin"/>
      </w:r>
      <w:r>
        <w:instrText xml:space="preserve"> PAGEREF _Toc21377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BBC1BFC">
      <w:pPr>
        <w:spacing w:line="240" w:lineRule="auto"/>
      </w:pPr>
      <w:r>
        <w:fldChar w:fldCharType="end"/>
      </w:r>
    </w:p>
    <w:p w14:paraId="4389A3C1">
      <w:r>
        <w:br w:type="page"/>
      </w:r>
    </w:p>
    <w:p w14:paraId="02F716F7">
      <w:pPr>
        <w:pStyle w:val="2"/>
        <w:keepNext/>
        <w:spacing w:line="480" w:lineRule="auto"/>
        <w:jc w:val="left"/>
      </w:pPr>
      <w:bookmarkStart w:id="0" w:name="_Toc27630"/>
      <w:r>
        <w:rPr>
          <w:rFonts w:ascii="Times New Roman" w:hAnsi="Times New Roman" w:eastAsia="Times New Roman"/>
          <w:b/>
          <w:i w:val="0"/>
          <w:sz w:val="24"/>
        </w:rPr>
        <w:t>Resumen</w:t>
      </w:r>
      <w:bookmarkEnd w:id="0"/>
    </w:p>
    <w:p w14:paraId="7729589C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proyecto implementa una aplicación de punto de venta con backend en ASP.NET Core Web API y frontend en WPF. El backend expone servicios RESTful, aplica una arquitectura por capas y utiliza ADO.NET contra SQL Server. El frontend consume la API mediante ViewModels y permite ejecutar las dos funcionalidades solicitadas: el CRUD asignado al Equipo 5, correspondiente a cuentas bancarias, y el registro de una orden de venta con estructura maestro-detalle.</w:t>
      </w:r>
    </w:p>
    <w:p w14:paraId="4C3F8872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registro de órdenes contempla selección de cliente, búsqueda de productos, cantidades, subtotal, impuesto, total e impacto sobre inventario. La persistencia de la orden se ejecuta dentro de una transacción SQL para evitar inconsistencias si ocurre un error durante la operación.</w:t>
      </w:r>
    </w:p>
    <w:p w14:paraId="693BF300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Estado de evidencia: se anexó evidencia real de API, CRUD de cuentas bancarias y transacciones contra SQL Server del curso. Quedan pendientes las capturas manuales de WPF para respaldar visualmente la interfaz.</w:t>
      </w:r>
    </w:p>
    <w:p w14:paraId="29EFD2E6">
      <w:pPr>
        <w:pStyle w:val="2"/>
        <w:keepNext/>
        <w:spacing w:line="480" w:lineRule="auto"/>
        <w:jc w:val="left"/>
      </w:pPr>
      <w:bookmarkStart w:id="1" w:name="_Toc13850"/>
      <w:r>
        <w:rPr>
          <w:rFonts w:ascii="Times New Roman" w:hAnsi="Times New Roman" w:eastAsia="Times New Roman"/>
          <w:b/>
          <w:i w:val="0"/>
          <w:sz w:val="24"/>
        </w:rPr>
        <w:t>Integrantes</w:t>
      </w:r>
      <w:bookmarkEnd w:id="1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6AC1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shd w:val="clear" w:color="auto" w:fill="EDEDED"/>
            <w:vAlign w:val="center"/>
          </w:tcPr>
          <w:p w14:paraId="25842ED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Integrante</w:t>
            </w:r>
          </w:p>
        </w:tc>
        <w:tc>
          <w:tcPr>
            <w:tcW w:w="4680" w:type="dxa"/>
            <w:shd w:val="clear" w:color="auto" w:fill="EDEDED"/>
            <w:vAlign w:val="center"/>
          </w:tcPr>
          <w:p w14:paraId="5951B01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GitHub</w:t>
            </w:r>
          </w:p>
        </w:tc>
      </w:tr>
      <w:tr w14:paraId="095FD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0EEEAC1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Caleb Hernández Vega</w:t>
            </w:r>
          </w:p>
        </w:tc>
        <w:tc>
          <w:tcPr>
            <w:tcW w:w="4680" w:type="dxa"/>
            <w:vAlign w:val="center"/>
          </w:tcPr>
          <w:p w14:paraId="29937ABB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CalebHv21</w:t>
            </w:r>
          </w:p>
        </w:tc>
      </w:tr>
      <w:tr w14:paraId="4F52A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7A920DC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Sebastián Cordero</w:t>
            </w:r>
          </w:p>
        </w:tc>
        <w:tc>
          <w:tcPr>
            <w:tcW w:w="4680" w:type="dxa"/>
            <w:vAlign w:val="center"/>
          </w:tcPr>
          <w:p w14:paraId="1C1003B4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cbastiancq-lab</w:t>
            </w:r>
          </w:p>
        </w:tc>
      </w:tr>
      <w:tr w14:paraId="1E1F6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6CD3752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Josué Delgado Corrales</w:t>
            </w:r>
          </w:p>
        </w:tc>
        <w:tc>
          <w:tcPr>
            <w:tcW w:w="4680" w:type="dxa"/>
            <w:vAlign w:val="center"/>
          </w:tcPr>
          <w:p w14:paraId="169CBFA3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JosueDelgadoCorrales</w:t>
            </w:r>
          </w:p>
        </w:tc>
      </w:tr>
      <w:tr w14:paraId="419C5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3EC4A1F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Alejandro Porras</w:t>
            </w:r>
          </w:p>
        </w:tc>
        <w:tc>
          <w:tcPr>
            <w:tcW w:w="4680" w:type="dxa"/>
            <w:vAlign w:val="center"/>
          </w:tcPr>
          <w:p w14:paraId="702860D2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axpew</w:t>
            </w:r>
          </w:p>
        </w:tc>
      </w:tr>
    </w:tbl>
    <w:p w14:paraId="1207DF2C">
      <w:pPr>
        <w:spacing w:after="120" w:line="240" w:lineRule="auto"/>
      </w:pPr>
    </w:p>
    <w:p w14:paraId="59191652">
      <w:pPr>
        <w:pStyle w:val="2"/>
        <w:keepNext/>
        <w:spacing w:line="480" w:lineRule="auto"/>
        <w:jc w:val="left"/>
      </w:pPr>
      <w:bookmarkStart w:id="2" w:name="_Toc9223"/>
      <w:r>
        <w:rPr>
          <w:rFonts w:ascii="Times New Roman" w:hAnsi="Times New Roman" w:eastAsia="Times New Roman"/>
          <w:b/>
          <w:i w:val="0"/>
          <w:sz w:val="24"/>
        </w:rPr>
        <w:t>Trazabilidad Git y aportes verificables</w:t>
      </w:r>
      <w:bookmarkEnd w:id="2"/>
    </w:p>
    <w:p w14:paraId="257AE40B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revisión del historial Git muestra aportes técnicos verificables principalmente de Sebastián Cordero y Josué Delgado Corrales. En este informe no se atribuyen tareas no comprobadas a otros integrantes; sus nombres se mantienen como parte del equipo, pero la bitácora técnica se basa en commits, ramas y PRs disponibles en el repositorio.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BF04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shd w:val="clear" w:color="auto" w:fill="EDEDED"/>
            <w:vAlign w:val="center"/>
          </w:tcPr>
          <w:p w14:paraId="53E285F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Persona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735D2B1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Evidencia Git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76B91E7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Aporte verificable</w:t>
            </w:r>
          </w:p>
        </w:tc>
      </w:tr>
      <w:tr w14:paraId="05EFD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1173A2B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Sebastián Cordero</w:t>
            </w:r>
          </w:p>
        </w:tc>
        <w:tc>
          <w:tcPr>
            <w:tcW w:w="3120" w:type="dxa"/>
            <w:vAlign w:val="center"/>
          </w:tcPr>
          <w:p w14:paraId="0F7D0BAE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feature/sebas-db-transacciones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, PRs de integración, commits de estructura, evidencia y entrega</w:t>
            </w:r>
          </w:p>
        </w:tc>
        <w:tc>
          <w:tcPr>
            <w:tcW w:w="3120" w:type="dxa"/>
            <w:vAlign w:val="center"/>
          </w:tcPr>
          <w:p w14:paraId="42151C1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Base de datos, configuración SQL Server, transacciones, estructura de entrega, pruebas finales, documentación y coordinación del repositorio.</w:t>
            </w:r>
          </w:p>
        </w:tc>
      </w:tr>
      <w:tr w14:paraId="53DDA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2199AD2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Josué Delgado Corrales</w:t>
            </w:r>
          </w:p>
        </w:tc>
        <w:tc>
          <w:tcPr>
            <w:tcW w:w="3120" w:type="dxa"/>
            <w:vAlign w:val="center"/>
          </w:tcPr>
          <w:p w14:paraId="3EB8CD56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feature/josue-api-business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, PR #6, commits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9b56631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 y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6c55371</w:t>
            </w:r>
          </w:p>
        </w:tc>
        <w:tc>
          <w:tcPr>
            <w:tcW w:w="3120" w:type="dxa"/>
            <w:vAlign w:val="center"/>
          </w:tcPr>
          <w:p w14:paraId="2FB0D0D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Ajustes y documentación técnica de API/Business, respuestas HTTP de controladores y apoyo en endpoints relacionados con cuentas, catálogos y órdenes.</w:t>
            </w:r>
          </w:p>
        </w:tc>
      </w:tr>
      <w:tr w14:paraId="5803A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56AE516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Caleb Hernández Vega</w:t>
            </w:r>
          </w:p>
        </w:tc>
        <w:tc>
          <w:tcPr>
            <w:tcW w:w="3120" w:type="dxa"/>
            <w:vAlign w:val="center"/>
          </w:tcPr>
          <w:p w14:paraId="42D4252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Sin evidencia técnica independiente registrada en el cierre revisado</w:t>
            </w:r>
          </w:p>
        </w:tc>
        <w:tc>
          <w:tcPr>
            <w:tcW w:w="3120" w:type="dxa"/>
            <w:vAlign w:val="center"/>
          </w:tcPr>
          <w:p w14:paraId="5655421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Rol asignado a documentación/pruebas, pendiente de evidencia específica en bitácora si corresponde.</w:t>
            </w:r>
          </w:p>
        </w:tc>
      </w:tr>
      <w:tr w14:paraId="5158D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4282EB4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Alejandro Porras</w:t>
            </w:r>
          </w:p>
        </w:tc>
        <w:tc>
          <w:tcPr>
            <w:tcW w:w="3120" w:type="dxa"/>
            <w:vAlign w:val="center"/>
          </w:tcPr>
          <w:p>
            <w:r>
              <w:t>Revisión de interfaz WPF y propuesta de modo claro/oscuro</w:t>
            </w:r>
          </w:p>
        </w:tc>
        <w:tc>
          <w:tcPr>
            <w:tcW w:w="3120" w:type="dxa"/>
            <w:vAlign w:val="center"/>
          </w:tcPr>
          <w:p>
            <w:r>
              <w:t>Aporte de análisis visual y propuesta de mejora de accesibilidad visual. La propuesta fue revisada e integrada en el cierre mediante temas dinámicos en WPF.</w:t>
            </w:r>
          </w:p>
        </w:tc>
      </w:tr>
    </w:tbl>
    <w:p w14:paraId="54641F91">
      <w:pPr>
        <w:spacing w:after="120" w:line="240" w:lineRule="auto"/>
      </w:pPr>
    </w:p>
    <w:p w14:paraId="0A4A14E9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Esta decisión evita inflar la documentación con aportes no verificados y facilita una defensa honesta del trabajo realizado.</w:t>
      </w:r>
    </w:p>
    <w:p w14:paraId="142B99A8">
      <w:pPr>
        <w:pStyle w:val="2"/>
        <w:keepNext/>
        <w:spacing w:line="480" w:lineRule="auto"/>
        <w:jc w:val="left"/>
      </w:pPr>
      <w:bookmarkStart w:id="3" w:name="_Toc2851"/>
      <w:r>
        <w:rPr>
          <w:rFonts w:ascii="Times New Roman" w:hAnsi="Times New Roman" w:eastAsia="Times New Roman"/>
          <w:b/>
          <w:i w:val="0"/>
          <w:sz w:val="24"/>
        </w:rPr>
        <w:t>Objetivos</w:t>
      </w:r>
      <w:bookmarkEnd w:id="3"/>
    </w:p>
    <w:p w14:paraId="7562CF40">
      <w:pPr>
        <w:pStyle w:val="3"/>
        <w:keepNext/>
        <w:spacing w:line="480" w:lineRule="auto"/>
        <w:jc w:val="left"/>
      </w:pPr>
      <w:bookmarkStart w:id="4" w:name="_Toc16540"/>
      <w:r>
        <w:rPr>
          <w:rFonts w:ascii="Times New Roman" w:hAnsi="Times New Roman" w:eastAsia="Times New Roman"/>
          <w:b/>
          <w:i w:val="0"/>
          <w:sz w:val="24"/>
        </w:rPr>
        <w:t>Objetivo general</w:t>
      </w:r>
      <w:bookmarkEnd w:id="4"/>
    </w:p>
    <w:p w14:paraId="6B35A8AD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Desarrollar una aplicación de punto de venta con backend RESTful en ASP.NET Core Web API, frontend WPF y persistencia en SQL Server, cumpliendo los requerimientos funcionales asignados al Equipo 5.</w:t>
      </w:r>
    </w:p>
    <w:p w14:paraId="17FFD312">
      <w:pPr>
        <w:pStyle w:val="3"/>
        <w:keepNext/>
        <w:spacing w:line="480" w:lineRule="auto"/>
        <w:jc w:val="left"/>
      </w:pPr>
      <w:bookmarkStart w:id="5" w:name="_Toc10101"/>
      <w:r>
        <w:rPr>
          <w:rFonts w:ascii="Times New Roman" w:hAnsi="Times New Roman" w:eastAsia="Times New Roman"/>
          <w:b/>
          <w:i w:val="0"/>
          <w:sz w:val="24"/>
        </w:rPr>
        <w:t>Objetivos específicos</w:t>
      </w:r>
      <w:bookmarkEnd w:id="5"/>
    </w:p>
    <w:p w14:paraId="337A6DC8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Implementar el CRUD de cuentas bancarias.</w:t>
      </w:r>
    </w:p>
    <w:p w14:paraId="0D50A745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Implementar una orden de venta maestro-detalle.</w:t>
      </w:r>
    </w:p>
    <w:p w14:paraId="33CDB34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Consumir la API REST desde WPF.</w:t>
      </w:r>
    </w:p>
    <w:p w14:paraId="6655DC30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Aplicar una arquitectura por capas: API, negocio, datos y dominio.</w:t>
      </w:r>
    </w:p>
    <w:p w14:paraId="6B3843FF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Utilizar ADO.NET y transacciones SQL donde corresponda.</w:t>
      </w:r>
    </w:p>
    <w:p w14:paraId="5FE05209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Incorporar medidas básicas de accesibilidad en la interfaz WPF, conforme a los principios de acceso a la información indicados en la Ley N.° 7600 y criterios técnicos WCAG.</w:t>
      </w:r>
    </w:p>
    <w:p w14:paraId="180EEE24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Documentar endpoints, modelo entidad-relación, modelo de dominio, pruebas y bitácora.</w:t>
      </w:r>
    </w:p>
    <w:p w14:paraId="0EF49A84">
      <w:pPr>
        <w:pStyle w:val="2"/>
        <w:keepNext/>
        <w:spacing w:line="480" w:lineRule="auto"/>
        <w:jc w:val="left"/>
      </w:pPr>
      <w:bookmarkStart w:id="6" w:name="_Toc17931"/>
      <w:r>
        <w:rPr>
          <w:rFonts w:ascii="Times New Roman" w:hAnsi="Times New Roman" w:eastAsia="Times New Roman"/>
          <w:b/>
          <w:i w:val="0"/>
          <w:sz w:val="24"/>
        </w:rPr>
        <w:t>Especificación de la necesidad</w:t>
      </w:r>
      <w:bookmarkEnd w:id="6"/>
    </w:p>
    <w:p w14:paraId="11EBD5EF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sistema permite administrar cuentas bancarias de compañía y registrar órdenes de venta. La orden debe asociarse a un cliente, contener productos con cantidades, calcular importes, procesarse contra la base de datos y actualizar inventario.</w:t>
      </w:r>
    </w:p>
    <w:p w14:paraId="1AB2A59B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sistema se divide en:</w:t>
      </w:r>
    </w:p>
    <w:p w14:paraId="3259ACF9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Backend: expone API RESTful y ejecuta reglas de negocio.</w:t>
      </w:r>
    </w:p>
    <w:p w14:paraId="1C41661A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Capa de datos: consulta y modifica SQL Server mediante ADO.NET.</w:t>
      </w:r>
    </w:p>
    <w:p w14:paraId="18CBB34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WPF: consume la API y muestra las interfaces de cuentas bancarias y nueva orden.</w:t>
      </w:r>
    </w:p>
    <w:p w14:paraId="760C23ED">
      <w:pPr>
        <w:pStyle w:val="2"/>
        <w:keepNext/>
        <w:spacing w:line="480" w:lineRule="auto"/>
        <w:jc w:val="left"/>
      </w:pPr>
      <w:bookmarkStart w:id="7" w:name="_Toc30233"/>
      <w:r>
        <w:rPr>
          <w:rFonts w:ascii="Times New Roman" w:hAnsi="Times New Roman" w:eastAsia="Times New Roman"/>
          <w:b/>
          <w:i w:val="0"/>
          <w:sz w:val="24"/>
        </w:rPr>
        <w:t>Arquitectura</w:t>
      </w:r>
      <w:bookmarkEnd w:id="7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79816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shd w:val="clear" w:color="auto" w:fill="EDEDED"/>
            <w:vAlign w:val="center"/>
          </w:tcPr>
          <w:p w14:paraId="2A94A36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Capa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4311F48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Proyecto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2C9642C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Responsabilidad</w:t>
            </w:r>
          </w:p>
        </w:tc>
      </w:tr>
      <w:tr w14:paraId="718FF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7A69478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API</w:t>
            </w:r>
          </w:p>
        </w:tc>
        <w:tc>
          <w:tcPr>
            <w:tcW w:w="3120" w:type="dxa"/>
            <w:vAlign w:val="center"/>
          </w:tcPr>
          <w:p w14:paraId="3FC24B87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SalesPro.Api</w:t>
            </w:r>
          </w:p>
        </w:tc>
        <w:tc>
          <w:tcPr>
            <w:tcW w:w="3120" w:type="dxa"/>
            <w:vAlign w:val="center"/>
          </w:tcPr>
          <w:p w14:paraId="2D92C7D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Controladores REST, Swagger, configuración y manejo de errores.</w:t>
            </w:r>
          </w:p>
        </w:tc>
      </w:tr>
      <w:tr w14:paraId="4B23A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527E354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Negocio</w:t>
            </w:r>
          </w:p>
        </w:tc>
        <w:tc>
          <w:tcPr>
            <w:tcW w:w="3120" w:type="dxa"/>
            <w:vAlign w:val="center"/>
          </w:tcPr>
          <w:p w14:paraId="4A01F08E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SalesPro.Business</w:t>
            </w:r>
          </w:p>
        </w:tc>
        <w:tc>
          <w:tcPr>
            <w:tcW w:w="3120" w:type="dxa"/>
            <w:vAlign w:val="center"/>
          </w:tcPr>
          <w:p w14:paraId="584728E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Validaciones y reglas de negocio.</w:t>
            </w:r>
          </w:p>
        </w:tc>
      </w:tr>
      <w:tr w14:paraId="31BF5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692BF19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Datos</w:t>
            </w:r>
          </w:p>
        </w:tc>
        <w:tc>
          <w:tcPr>
            <w:tcW w:w="3120" w:type="dxa"/>
            <w:vAlign w:val="center"/>
          </w:tcPr>
          <w:p w14:paraId="57DE0CB5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SalesPro.Data</w:t>
            </w:r>
          </w:p>
        </w:tc>
        <w:tc>
          <w:tcPr>
            <w:tcW w:w="3120" w:type="dxa"/>
            <w:vAlign w:val="center"/>
          </w:tcPr>
          <w:p w14:paraId="2DAA354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Repositorios ADO.NET, consultas SQL y transacciones.</w:t>
            </w:r>
          </w:p>
        </w:tc>
      </w:tr>
      <w:tr w14:paraId="3E6B0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1A409A4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Dominio</w:t>
            </w:r>
          </w:p>
        </w:tc>
        <w:tc>
          <w:tcPr>
            <w:tcW w:w="3120" w:type="dxa"/>
            <w:vAlign w:val="center"/>
          </w:tcPr>
          <w:p w14:paraId="6188FCB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SalesPro.Domain</w:t>
            </w:r>
          </w:p>
        </w:tc>
        <w:tc>
          <w:tcPr>
            <w:tcW w:w="3120" w:type="dxa"/>
            <w:vAlign w:val="center"/>
          </w:tcPr>
          <w:p w14:paraId="26185C3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Entidades base y excepciones del dominio.</w:t>
            </w:r>
          </w:p>
        </w:tc>
      </w:tr>
      <w:tr w14:paraId="61055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58ADA86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Contratos</w:t>
            </w:r>
          </w:p>
        </w:tc>
        <w:tc>
          <w:tcPr>
            <w:tcW w:w="3120" w:type="dxa"/>
            <w:vAlign w:val="center"/>
          </w:tcPr>
          <w:p w14:paraId="59B2DD74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SalesPro.Contracts</w:t>
            </w:r>
          </w:p>
        </w:tc>
        <w:tc>
          <w:tcPr>
            <w:tcW w:w="3120" w:type="dxa"/>
            <w:vAlign w:val="center"/>
          </w:tcPr>
          <w:p w14:paraId="11D19FF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DTOs, requests y responses compartidos con WPF.</w:t>
            </w:r>
          </w:p>
        </w:tc>
      </w:tr>
      <w:tr w14:paraId="0D395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7343853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Frontend</w:t>
            </w:r>
          </w:p>
        </w:tc>
        <w:tc>
          <w:tcPr>
            <w:tcW w:w="3120" w:type="dxa"/>
            <w:vAlign w:val="center"/>
          </w:tcPr>
          <w:p w14:paraId="2EDCEF5D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SalesPro.Wpf</w:t>
            </w:r>
          </w:p>
        </w:tc>
        <w:tc>
          <w:tcPr>
            <w:tcW w:w="3120" w:type="dxa"/>
            <w:vAlign w:val="center"/>
          </w:tcPr>
          <w:p w14:paraId="2AD6AD4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Vistas WPF, ViewModels y consumo de API.</w:t>
            </w:r>
          </w:p>
        </w:tc>
      </w:tr>
    </w:tbl>
    <w:p w14:paraId="34B3E296">
      <w:pPr>
        <w:spacing w:after="120" w:line="240" w:lineRule="auto"/>
      </w:pPr>
    </w:p>
    <w:p w14:paraId="6BBC9529">
      <w:pPr>
        <w:pStyle w:val="2"/>
        <w:keepNext/>
        <w:spacing w:line="480" w:lineRule="auto"/>
        <w:jc w:val="left"/>
      </w:pPr>
      <w:bookmarkStart w:id="8" w:name="_Toc29421"/>
      <w:r>
        <w:rPr>
          <w:rFonts w:ascii="Times New Roman" w:hAnsi="Times New Roman" w:eastAsia="Times New Roman"/>
          <w:b/>
          <w:i w:val="0"/>
          <w:sz w:val="24"/>
        </w:rPr>
        <w:t>API RESTful desarrollada</w:t>
      </w:r>
      <w:bookmarkEnd w:id="8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3025"/>
        <w:gridCol w:w="1601"/>
        <w:gridCol w:w="1665"/>
        <w:gridCol w:w="1648"/>
      </w:tblGrid>
      <w:tr w14:paraId="18B97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shd w:val="clear" w:color="auto" w:fill="EDEDED"/>
            <w:vAlign w:val="center"/>
          </w:tcPr>
          <w:p w14:paraId="70000D7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Recurso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65B5DDA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URL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7602BD7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Método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52956D5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Descripción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67AE8D7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Respuestas principales</w:t>
            </w:r>
          </w:p>
        </w:tc>
      </w:tr>
      <w:tr w14:paraId="436B7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16F7AC6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Estado API</w:t>
            </w:r>
          </w:p>
        </w:tc>
        <w:tc>
          <w:tcPr>
            <w:tcW w:w="1872" w:type="dxa"/>
            <w:vAlign w:val="center"/>
          </w:tcPr>
          <w:p w14:paraId="231CF6DB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</w:t>
            </w:r>
          </w:p>
        </w:tc>
        <w:tc>
          <w:tcPr>
            <w:tcW w:w="1872" w:type="dxa"/>
            <w:vAlign w:val="center"/>
          </w:tcPr>
          <w:p w14:paraId="384C900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71A5FD3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Verifica que la API responde.</w:t>
            </w:r>
          </w:p>
        </w:tc>
        <w:tc>
          <w:tcPr>
            <w:tcW w:w="1872" w:type="dxa"/>
            <w:vAlign w:val="center"/>
          </w:tcPr>
          <w:p w14:paraId="4E059EA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3B964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1B17CD7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Bancos</w:t>
            </w:r>
          </w:p>
        </w:tc>
        <w:tc>
          <w:tcPr>
            <w:tcW w:w="1872" w:type="dxa"/>
            <w:vAlign w:val="center"/>
          </w:tcPr>
          <w:p w14:paraId="67F49A5A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/api/catalogos/bancos</w:t>
            </w:r>
          </w:p>
        </w:tc>
        <w:tc>
          <w:tcPr>
            <w:tcW w:w="1872" w:type="dxa"/>
            <w:vAlign w:val="center"/>
          </w:tcPr>
          <w:p w14:paraId="4D11761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0477D20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Lista bancos disponibles.</w:t>
            </w:r>
          </w:p>
        </w:tc>
        <w:tc>
          <w:tcPr>
            <w:tcW w:w="1872" w:type="dxa"/>
            <w:vAlign w:val="center"/>
          </w:tcPr>
          <w:p w14:paraId="5E29BE01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61DF7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30D455F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Compañías</w:t>
            </w:r>
          </w:p>
        </w:tc>
        <w:tc>
          <w:tcPr>
            <w:tcW w:w="1872" w:type="dxa"/>
            <w:vAlign w:val="center"/>
          </w:tcPr>
          <w:p w14:paraId="691065F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/api/catalogos/companias</w:t>
            </w:r>
          </w:p>
        </w:tc>
        <w:tc>
          <w:tcPr>
            <w:tcW w:w="1872" w:type="dxa"/>
            <w:vAlign w:val="center"/>
          </w:tcPr>
          <w:p w14:paraId="11CFC7A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77E6E58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Lista compañías disponibles.</w:t>
            </w:r>
          </w:p>
        </w:tc>
        <w:tc>
          <w:tcPr>
            <w:tcW w:w="1872" w:type="dxa"/>
            <w:vAlign w:val="center"/>
          </w:tcPr>
          <w:p w14:paraId="61BD27A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6EBFA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43884BE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Clientes</w:t>
            </w:r>
          </w:p>
        </w:tc>
        <w:tc>
          <w:tcPr>
            <w:tcW w:w="1872" w:type="dxa"/>
            <w:vAlign w:val="center"/>
          </w:tcPr>
          <w:p w14:paraId="2AF25432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/api/catalogos/clientes?buscar={texto}</w:t>
            </w:r>
          </w:p>
        </w:tc>
        <w:tc>
          <w:tcPr>
            <w:tcW w:w="1872" w:type="dxa"/>
            <w:vAlign w:val="center"/>
          </w:tcPr>
          <w:p w14:paraId="229EB7D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6B04F0F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Busca clientes activos.</w:t>
            </w:r>
          </w:p>
        </w:tc>
        <w:tc>
          <w:tcPr>
            <w:tcW w:w="1872" w:type="dxa"/>
            <w:vAlign w:val="center"/>
          </w:tcPr>
          <w:p w14:paraId="7EBBA58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3CDC1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6F6F410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Productos</w:t>
            </w:r>
          </w:p>
        </w:tc>
        <w:tc>
          <w:tcPr>
            <w:tcW w:w="1872" w:type="dxa"/>
            <w:vAlign w:val="center"/>
          </w:tcPr>
          <w:p w14:paraId="60CE1A51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/api/catalogos/productos?buscar={texto}</w:t>
            </w:r>
          </w:p>
        </w:tc>
        <w:tc>
          <w:tcPr>
            <w:tcW w:w="1872" w:type="dxa"/>
            <w:vAlign w:val="center"/>
          </w:tcPr>
          <w:p w14:paraId="60BB3C1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3A53B41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Busca productos disponibles.</w:t>
            </w:r>
          </w:p>
        </w:tc>
        <w:tc>
          <w:tcPr>
            <w:tcW w:w="1872" w:type="dxa"/>
            <w:vAlign w:val="center"/>
          </w:tcPr>
          <w:p w14:paraId="12F771B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31424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69595ED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568124AD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</w:t>
            </w:r>
          </w:p>
        </w:tc>
        <w:tc>
          <w:tcPr>
            <w:tcW w:w="1872" w:type="dxa"/>
            <w:vAlign w:val="center"/>
          </w:tcPr>
          <w:p w14:paraId="4C27FB8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61F2872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Lista o filtra cuentas bancarias.</w:t>
            </w:r>
          </w:p>
        </w:tc>
        <w:tc>
          <w:tcPr>
            <w:tcW w:w="1872" w:type="dxa"/>
            <w:vAlign w:val="center"/>
          </w:tcPr>
          <w:p w14:paraId="5CBCE75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2CD1F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4E659C6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0CF4B86F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/api/cuentas-bancarias/{id}</w:t>
            </w:r>
          </w:p>
        </w:tc>
        <w:tc>
          <w:tcPr>
            <w:tcW w:w="1872" w:type="dxa"/>
            <w:vAlign w:val="center"/>
          </w:tcPr>
          <w:p w14:paraId="0EB1536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1A001F4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Obtiene una cuenta por id.</w:t>
            </w:r>
          </w:p>
        </w:tc>
        <w:tc>
          <w:tcPr>
            <w:tcW w:w="1872" w:type="dxa"/>
            <w:vAlign w:val="center"/>
          </w:tcPr>
          <w:p w14:paraId="46045F0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200, 404</w:t>
            </w:r>
          </w:p>
        </w:tc>
      </w:tr>
      <w:tr w14:paraId="36B78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FD5F8B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469B9B90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</w:t>
            </w:r>
          </w:p>
        </w:tc>
        <w:tc>
          <w:tcPr>
            <w:tcW w:w="1872" w:type="dxa"/>
            <w:vAlign w:val="center"/>
          </w:tcPr>
          <w:p w14:paraId="502F6AD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POST</w:t>
            </w:r>
          </w:p>
        </w:tc>
        <w:tc>
          <w:tcPr>
            <w:tcW w:w="1872" w:type="dxa"/>
            <w:vAlign w:val="center"/>
          </w:tcPr>
          <w:p w14:paraId="121B649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Crea una cuenta bancaria.</w:t>
            </w:r>
          </w:p>
        </w:tc>
        <w:tc>
          <w:tcPr>
            <w:tcW w:w="1872" w:type="dxa"/>
            <w:vAlign w:val="center"/>
          </w:tcPr>
          <w:p w14:paraId="3604619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201, 400, 409</w:t>
            </w:r>
          </w:p>
        </w:tc>
      </w:tr>
      <w:tr w14:paraId="28DE9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8BA76F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618C7753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/api/cuentas-bancarias/{id}</w:t>
            </w:r>
          </w:p>
        </w:tc>
        <w:tc>
          <w:tcPr>
            <w:tcW w:w="1872" w:type="dxa"/>
            <w:vAlign w:val="center"/>
          </w:tcPr>
          <w:p w14:paraId="28D5C68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PUT</w:t>
            </w:r>
          </w:p>
        </w:tc>
        <w:tc>
          <w:tcPr>
            <w:tcW w:w="1872" w:type="dxa"/>
            <w:vAlign w:val="center"/>
          </w:tcPr>
          <w:p w14:paraId="0D79E32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Actualiza una cuenta bancaria.</w:t>
            </w:r>
          </w:p>
        </w:tc>
        <w:tc>
          <w:tcPr>
            <w:tcW w:w="1872" w:type="dxa"/>
            <w:vAlign w:val="center"/>
          </w:tcPr>
          <w:p w14:paraId="1D729A7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200, 400, 404, 409</w:t>
            </w:r>
          </w:p>
        </w:tc>
      </w:tr>
      <w:tr w14:paraId="4B4A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ECB5A1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1922C10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/api/cuentas-bancarias/{id}</w:t>
            </w:r>
          </w:p>
        </w:tc>
        <w:tc>
          <w:tcPr>
            <w:tcW w:w="1872" w:type="dxa"/>
            <w:vAlign w:val="center"/>
          </w:tcPr>
          <w:p w14:paraId="7C8D1CE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DELETE</w:t>
            </w:r>
          </w:p>
        </w:tc>
        <w:tc>
          <w:tcPr>
            <w:tcW w:w="1872" w:type="dxa"/>
            <w:vAlign w:val="center"/>
          </w:tcPr>
          <w:p w14:paraId="6AD3552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Elimina una cuenta bancaria.</w:t>
            </w:r>
          </w:p>
        </w:tc>
        <w:tc>
          <w:tcPr>
            <w:tcW w:w="1872" w:type="dxa"/>
            <w:vAlign w:val="center"/>
          </w:tcPr>
          <w:p w14:paraId="41337EE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204, 404</w:t>
            </w:r>
          </w:p>
        </w:tc>
      </w:tr>
      <w:tr w14:paraId="335E3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009CEC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Órdenes</w:t>
            </w:r>
          </w:p>
        </w:tc>
        <w:tc>
          <w:tcPr>
            <w:tcW w:w="1872" w:type="dxa"/>
            <w:vAlign w:val="center"/>
          </w:tcPr>
          <w:p w14:paraId="2E9F1D4F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/api/ordenes</w:t>
            </w:r>
          </w:p>
        </w:tc>
        <w:tc>
          <w:tcPr>
            <w:tcW w:w="1872" w:type="dxa"/>
            <w:vAlign w:val="center"/>
          </w:tcPr>
          <w:p w14:paraId="2728881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POST</w:t>
            </w:r>
          </w:p>
        </w:tc>
        <w:tc>
          <w:tcPr>
            <w:tcW w:w="1872" w:type="dxa"/>
            <w:vAlign w:val="center"/>
          </w:tcPr>
          <w:p w14:paraId="0844A4F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Crea una orden de venta.</w:t>
            </w:r>
          </w:p>
        </w:tc>
        <w:tc>
          <w:tcPr>
            <w:tcW w:w="1872" w:type="dxa"/>
            <w:vAlign w:val="center"/>
          </w:tcPr>
          <w:p w14:paraId="52B7D5E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201, 400, 404, 409</w:t>
            </w:r>
          </w:p>
        </w:tc>
      </w:tr>
      <w:tr w14:paraId="6C7B7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04C8A09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Órdenes</w:t>
            </w:r>
          </w:p>
        </w:tc>
        <w:tc>
          <w:tcPr>
            <w:tcW w:w="1872" w:type="dxa"/>
            <w:vAlign w:val="center"/>
          </w:tcPr>
          <w:p w14:paraId="71DC0A1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/api/ordenes/{numeroOrden}</w:t>
            </w:r>
          </w:p>
        </w:tc>
        <w:tc>
          <w:tcPr>
            <w:tcW w:w="1872" w:type="dxa"/>
            <w:vAlign w:val="center"/>
          </w:tcPr>
          <w:p w14:paraId="7286ED5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6CB0E3C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Obtiene una orden por número.</w:t>
            </w:r>
          </w:p>
        </w:tc>
        <w:tc>
          <w:tcPr>
            <w:tcW w:w="1872" w:type="dxa"/>
            <w:vAlign w:val="center"/>
          </w:tcPr>
          <w:p w14:paraId="41CF683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200, 404</w:t>
            </w:r>
          </w:p>
        </w:tc>
      </w:tr>
    </w:tbl>
    <w:p w14:paraId="3F89F6D5">
      <w:pPr>
        <w:spacing w:after="120" w:line="240" w:lineRule="auto"/>
      </w:pPr>
    </w:p>
    <w:p w14:paraId="53CC0FAA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archivo de pruebas HTTP se encuentra en:</w:t>
      </w:r>
    </w:p>
    <w:p w14:paraId="5A126B2C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Proyecto_backend/SalesPro.Api/SalesPro.Api.http</w:t>
      </w:r>
    </w:p>
    <w:p w14:paraId="23A63D23">
      <w:pPr>
        <w:pStyle w:val="2"/>
        <w:keepNext/>
        <w:spacing w:line="480" w:lineRule="auto"/>
        <w:jc w:val="left"/>
      </w:pPr>
      <w:bookmarkStart w:id="9" w:name="_Toc1069"/>
      <w:r>
        <w:rPr>
          <w:rFonts w:ascii="Times New Roman" w:hAnsi="Times New Roman" w:eastAsia="Times New Roman"/>
          <w:b/>
          <w:i w:val="0"/>
          <w:sz w:val="24"/>
        </w:rPr>
        <w:t>Modelo entidad-relación</w:t>
      </w:r>
      <w:bookmarkEnd w:id="9"/>
    </w:p>
    <w:p w14:paraId="12711EC7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modelo entidad-relación se documenta en:</w:t>
      </w:r>
    </w:p>
    <w:p w14:paraId="4F4B16FF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docs/diagramas/ER.md</w:t>
      </w:r>
    </w:p>
    <w:p w14:paraId="71A12124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Entidades principales:</w:t>
      </w:r>
    </w:p>
    <w:p w14:paraId="1EBB0507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Banco</w:t>
      </w:r>
    </w:p>
    <w:p w14:paraId="14F070C8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Compania</w:t>
      </w:r>
    </w:p>
    <w:p w14:paraId="36E29E99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Cliente</w:t>
      </w:r>
    </w:p>
    <w:p w14:paraId="6399D769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Empleado</w:t>
      </w:r>
    </w:p>
    <w:p w14:paraId="2A027562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Producto</w:t>
      </w:r>
    </w:p>
    <w:p w14:paraId="587F90C3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Compania_Cuenta_Bancaria</w:t>
      </w:r>
    </w:p>
    <w:p w14:paraId="4D662F73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Pos_Orden</w:t>
      </w:r>
    </w:p>
    <w:p w14:paraId="39E61A62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Pos_Orden_Detalle</w:t>
      </w:r>
    </w:p>
    <w:p w14:paraId="345FFD22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ParametroSistema</w:t>
      </w:r>
    </w:p>
    <w:p w14:paraId="4415A990">
      <w:pPr>
        <w:pStyle w:val="2"/>
        <w:keepNext/>
        <w:spacing w:line="480" w:lineRule="auto"/>
        <w:jc w:val="left"/>
      </w:pPr>
      <w:bookmarkStart w:id="10" w:name="_Toc27943"/>
      <w:r>
        <w:rPr>
          <w:rFonts w:ascii="Times New Roman" w:hAnsi="Times New Roman" w:eastAsia="Times New Roman"/>
          <w:b/>
          <w:i w:val="0"/>
          <w:sz w:val="24"/>
        </w:rPr>
        <w:t>Modelo de dominio</w:t>
      </w:r>
      <w:bookmarkEnd w:id="10"/>
    </w:p>
    <w:p w14:paraId="17C7C438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modelo de dominio se documenta en:</w:t>
      </w:r>
    </w:p>
    <w:p w14:paraId="12C2A6BE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docs/diagramas/DOMINIO.md</w:t>
      </w:r>
    </w:p>
    <w:p w14:paraId="188FB5EC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diseño separa contratos de transporte, entidades del dominio, reglas de negocio y acceso a datos.</w:t>
      </w:r>
    </w:p>
    <w:p w14:paraId="3A2B9DF1">
      <w:pPr>
        <w:pStyle w:val="2"/>
        <w:keepNext/>
        <w:spacing w:line="480" w:lineRule="auto"/>
        <w:jc w:val="left"/>
      </w:pPr>
      <w:bookmarkStart w:id="11" w:name="_Toc56"/>
      <w:r>
        <w:rPr>
          <w:rFonts w:ascii="Times New Roman" w:hAnsi="Times New Roman" w:eastAsia="Times New Roman"/>
          <w:b/>
          <w:i w:val="0"/>
          <w:sz w:val="24"/>
        </w:rPr>
        <w:t>Funcionalidades implementadas</w:t>
      </w:r>
      <w:bookmarkEnd w:id="11"/>
    </w:p>
    <w:p w14:paraId="3FC397C9">
      <w:pPr>
        <w:pStyle w:val="3"/>
        <w:keepNext/>
        <w:spacing w:line="480" w:lineRule="auto"/>
        <w:jc w:val="left"/>
      </w:pPr>
      <w:bookmarkStart w:id="12" w:name="_Toc12411"/>
      <w:r>
        <w:rPr>
          <w:rFonts w:ascii="Times New Roman" w:hAnsi="Times New Roman" w:eastAsia="Times New Roman"/>
          <w:b/>
          <w:i w:val="0"/>
          <w:sz w:val="24"/>
        </w:rPr>
        <w:t>CRUD de cuentas bancarias</w:t>
      </w:r>
      <w:bookmarkEnd w:id="12"/>
    </w:p>
    <w:p w14:paraId="59B22005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funcionalidad permite:</w:t>
      </w:r>
    </w:p>
    <w:p w14:paraId="2BC0F34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listar cuentas;</w:t>
      </w:r>
    </w:p>
    <w:p w14:paraId="3AA879D1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buscar cuentas;</w:t>
      </w:r>
    </w:p>
    <w:p w14:paraId="4CBCE87F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crear cuenta bancaria;</w:t>
      </w:r>
    </w:p>
    <w:p w14:paraId="4A0151B7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editar cuenta bancaria;</w:t>
      </w:r>
    </w:p>
    <w:p w14:paraId="0B4B80D5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eliminar cuenta bancaria;</w:t>
      </w:r>
    </w:p>
    <w:p w14:paraId="495A5BE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validar banco y compañía existentes;</w:t>
      </w:r>
    </w:p>
    <w:p w14:paraId="7A5023F1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validar tipos de cuenta y divisa;</w:t>
      </w:r>
    </w:p>
    <w:p w14:paraId="648B796C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evitar duplicados por banco y número de cuenta.</w:t>
      </w:r>
    </w:p>
    <w:p w14:paraId="389814DB">
      <w:pPr>
        <w:pStyle w:val="3"/>
        <w:keepNext/>
        <w:spacing w:line="480" w:lineRule="auto"/>
        <w:jc w:val="left"/>
      </w:pPr>
      <w:bookmarkStart w:id="13" w:name="_Toc10495"/>
      <w:r>
        <w:rPr>
          <w:rFonts w:ascii="Times New Roman" w:hAnsi="Times New Roman" w:eastAsia="Times New Roman"/>
          <w:b/>
          <w:i w:val="0"/>
          <w:sz w:val="24"/>
        </w:rPr>
        <w:t>Registro de orden</w:t>
      </w:r>
      <w:bookmarkEnd w:id="13"/>
    </w:p>
    <w:p w14:paraId="3728A36A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funcionalidad permite:</w:t>
      </w:r>
    </w:p>
    <w:p w14:paraId="1CC6ADC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seleccionar cliente;</w:t>
      </w:r>
    </w:p>
    <w:p w14:paraId="2056E9F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buscar producto;</w:t>
      </w:r>
    </w:p>
    <w:p w14:paraId="58D9274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agregar productos con cantidad;</w:t>
      </w:r>
    </w:p>
    <w:p w14:paraId="6A751108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incrementar y decrementar cantidades;</w:t>
      </w:r>
    </w:p>
    <w:p w14:paraId="2A4782E1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remover productos;</w:t>
      </w:r>
    </w:p>
    <w:p w14:paraId="2FE581F5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visualizar subtotal, IVA estimado y total estimado;</w:t>
      </w:r>
    </w:p>
    <w:p w14:paraId="527A4848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procesar la orden en backend;</w:t>
      </w:r>
    </w:p>
    <w:p w14:paraId="46AF731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actualizar inventario al procesar.</w:t>
      </w:r>
    </w:p>
    <w:p w14:paraId="766CB1D1">
      <w:pPr>
        <w:pStyle w:val="2"/>
        <w:keepNext/>
        <w:spacing w:line="480" w:lineRule="auto"/>
        <w:jc w:val="left"/>
      </w:pPr>
      <w:bookmarkStart w:id="14" w:name="_Toc4726"/>
      <w:r>
        <w:rPr>
          <w:rFonts w:ascii="Times New Roman" w:hAnsi="Times New Roman" w:eastAsia="Times New Roman"/>
          <w:b/>
          <w:i w:val="0"/>
          <w:sz w:val="24"/>
        </w:rPr>
        <w:t>Manejo transaccional</w:t>
      </w:r>
      <w:bookmarkEnd w:id="14"/>
    </w:p>
    <w:p w14:paraId="783918F0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La creación de órdenes se implementa en </w:t>
      </w:r>
      <w:r>
        <w:rPr>
          <w:rFonts w:ascii="Courier New" w:hAnsi="Courier New" w:eastAsia="Courier New"/>
          <w:b w:val="0"/>
          <w:i w:val="0"/>
          <w:sz w:val="22"/>
        </w:rPr>
        <w:t>SalesPro.Data.Repositories.OrdenRepository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El flujo abre una conexión SQL, inicia una transacción con </w:t>
      </w:r>
      <w:r>
        <w:rPr>
          <w:rFonts w:ascii="Courier New" w:hAnsi="Courier New" w:eastAsia="Courier New"/>
          <w:b w:val="0"/>
          <w:i w:val="0"/>
          <w:sz w:val="22"/>
        </w:rPr>
        <w:t>BeginTransaction</w:t>
      </w:r>
      <w:r>
        <w:rPr>
          <w:rFonts w:ascii="Times New Roman" w:hAnsi="Times New Roman" w:eastAsia="Times New Roman"/>
          <w:b w:val="0"/>
          <w:i w:val="0"/>
          <w:sz w:val="24"/>
        </w:rPr>
        <w:t>, valida cliente, empleado y productos, calcula montos, inserta encabezado, descuenta inventario e inserta detalles.</w:t>
      </w:r>
    </w:p>
    <w:p w14:paraId="1AD89EC5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Si ocurre una excepción antes del </w:t>
      </w:r>
      <w:r>
        <w:rPr>
          <w:rFonts w:ascii="Courier New" w:hAnsi="Courier New" w:eastAsia="Courier New"/>
          <w:b w:val="0"/>
          <w:i w:val="0"/>
          <w:sz w:val="22"/>
        </w:rPr>
        <w:t>Commit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se ejecuta </w:t>
      </w:r>
      <w:r>
        <w:rPr>
          <w:rFonts w:ascii="Courier New" w:hAnsi="Courier New" w:eastAsia="Courier New"/>
          <w:b w:val="0"/>
          <w:i w:val="0"/>
          <w:sz w:val="22"/>
        </w:rPr>
        <w:t>Rollback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Además, la lectura de productos para venta usa bloqueo con </w:t>
      </w:r>
      <w:r>
        <w:rPr>
          <w:rFonts w:ascii="Courier New" w:hAnsi="Courier New" w:eastAsia="Courier New"/>
          <w:b w:val="0"/>
          <w:i w:val="0"/>
          <w:sz w:val="22"/>
        </w:rPr>
        <w:t>UPDLOCK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y </w:t>
      </w:r>
      <w:r>
        <w:rPr>
          <w:rFonts w:ascii="Courier New" w:hAnsi="Courier New" w:eastAsia="Courier New"/>
          <w:b w:val="0"/>
          <w:i w:val="0"/>
          <w:sz w:val="22"/>
        </w:rPr>
        <w:t>ROWLOCK</w:t>
      </w:r>
      <w:r>
        <w:rPr>
          <w:rFonts w:ascii="Times New Roman" w:hAnsi="Times New Roman" w:eastAsia="Times New Roman"/>
          <w:b w:val="0"/>
          <w:i w:val="0"/>
          <w:sz w:val="24"/>
        </w:rPr>
        <w:t>, lo que ayuda a evitar inconsistencias durante el descuento de inventario.</w:t>
      </w:r>
    </w:p>
    <w:p w14:paraId="735A4E6D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evidencia se anexó en:</w:t>
      </w:r>
    </w:p>
    <w:p w14:paraId="4429DD0D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docs/EVIDENCIA_TRANSACCIONES.md</w:t>
      </w:r>
    </w:p>
    <w:p w14:paraId="23BD5229">
      <w:pPr>
        <w:pStyle w:val="2"/>
        <w:keepNext/>
        <w:spacing w:line="480" w:lineRule="auto"/>
        <w:jc w:val="left"/>
      </w:pPr>
      <w:bookmarkStart w:id="15" w:name="_Toc20536"/>
      <w:r>
        <w:rPr>
          <w:rFonts w:ascii="Times New Roman" w:hAnsi="Times New Roman" w:eastAsia="Times New Roman"/>
          <w:b/>
          <w:i w:val="0"/>
          <w:sz w:val="24"/>
        </w:rPr>
        <w:t>Pruebas</w:t>
      </w:r>
      <w:bookmarkEnd w:id="15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5293"/>
        <w:gridCol w:w="2177"/>
      </w:tblGrid>
      <w:tr w14:paraId="4F81B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shd w:val="clear" w:color="auto" w:fill="EDEDED"/>
            <w:vAlign w:val="center"/>
          </w:tcPr>
          <w:p w14:paraId="6F8FBC81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Área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653B647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Archivo de evidencia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2FCE355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Estado</w:t>
            </w:r>
          </w:p>
        </w:tc>
      </w:tr>
      <w:tr w14:paraId="67A17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6CF9210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API REST</w:t>
            </w:r>
          </w:p>
        </w:tc>
        <w:tc>
          <w:tcPr>
            <w:tcW w:w="3120" w:type="dxa"/>
            <w:vAlign w:val="center"/>
          </w:tcPr>
          <w:p w14:paraId="3603FD56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Proyecto_backend/SalesPro.Api/SalesPro.Api.http</w:t>
            </w:r>
          </w:p>
        </w:tc>
        <w:tc>
          <w:tcPr>
            <w:tcW w:w="3120" w:type="dxa"/>
            <w:vAlign w:val="center"/>
          </w:tcPr>
          <w:p w14:paraId="527B91F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Preparado y ejecutado parcialmente mediante pruebas API</w:t>
            </w:r>
          </w:p>
        </w:tc>
      </w:tr>
      <w:tr w14:paraId="28733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2A74651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Transacciones</w:t>
            </w:r>
          </w:p>
        </w:tc>
        <w:tc>
          <w:tcPr>
            <w:tcW w:w="3120" w:type="dxa"/>
            <w:vAlign w:val="center"/>
          </w:tcPr>
          <w:p w14:paraId="56FF4673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docs/EVIDENCIA_TRANSACCIONES.md</w:t>
            </w:r>
          </w:p>
        </w:tc>
        <w:tc>
          <w:tcPr>
            <w:tcW w:w="3120" w:type="dxa"/>
            <w:vAlign w:val="center"/>
          </w:tcPr>
          <w:p w14:paraId="21FFEBF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Evidencia real anexada</w:t>
            </w:r>
          </w:p>
        </w:tc>
      </w:tr>
      <w:tr w14:paraId="5BEA3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0097DED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CRUD cuentas</w:t>
            </w:r>
          </w:p>
        </w:tc>
        <w:tc>
          <w:tcPr>
            <w:tcW w:w="3120" w:type="dxa"/>
            <w:vAlign w:val="center"/>
          </w:tcPr>
          <w:p w14:paraId="7706A789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docs/EVIDENCIA_CRUD_CUENTAS.md</w:t>
            </w:r>
          </w:p>
        </w:tc>
        <w:tc>
          <w:tcPr>
            <w:tcW w:w="3120" w:type="dxa"/>
            <w:vAlign w:val="center"/>
          </w:tcPr>
          <w:p w14:paraId="297AB8F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Evidencia API anexada; capturas WPF pendientes</w:t>
            </w:r>
          </w:p>
        </w:tc>
      </w:tr>
      <w:tr w14:paraId="3F9AE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3334A7F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Orden</w:t>
            </w:r>
          </w:p>
        </w:tc>
        <w:tc>
          <w:tcPr>
            <w:tcW w:w="3120" w:type="dxa"/>
            <w:vAlign w:val="center"/>
          </w:tcPr>
          <w:p w14:paraId="42923079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docs/EVIDENCIA_ORDEN_WPF.md</w:t>
            </w:r>
          </w:p>
        </w:tc>
        <w:tc>
          <w:tcPr>
            <w:tcW w:w="3120" w:type="dxa"/>
            <w:vAlign w:val="center"/>
          </w:tcPr>
          <w:p w14:paraId="2AB8187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Evidencia API/transacción anexada; capturas WPF pendientes</w:t>
            </w:r>
          </w:p>
        </w:tc>
      </w:tr>
    </w:tbl>
    <w:p w14:paraId="6B9E34F6">
      <w:pPr>
        <w:spacing w:after="120" w:line="240" w:lineRule="auto"/>
      </w:pPr>
    </w:p>
    <w:p w14:paraId="2CA59C9B">
      <w:pPr>
        <w:pStyle w:val="2"/>
        <w:keepNext/>
        <w:spacing w:line="480" w:lineRule="auto"/>
        <w:jc w:val="left"/>
      </w:pPr>
      <w:bookmarkStart w:id="16" w:name="_Toc3824"/>
      <w:r>
        <w:rPr>
          <w:rFonts w:ascii="Times New Roman" w:hAnsi="Times New Roman" w:eastAsia="Times New Roman"/>
          <w:b/>
          <w:i w:val="0"/>
          <w:sz w:val="24"/>
        </w:rPr>
        <w:t>Accesibilidad, Ley N.° 7600 y criterios WCAG</w:t>
      </w:r>
      <w:bookmarkEnd w:id="16"/>
    </w:p>
    <w:p w14:paraId="327CF187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Aunque el proyecto utiliza WPF como interfaz de escritorio y no corresponde a un sitio web público, se incorporaron medidas básicas de accesibilidad digital para facilitar el uso de la aplicación por teclado y tecnologías de apoyo. Esta decisión se fundamenta en el principio de acceso a la información de la Ley N.° 7600 y en la Directriz N.° 036-MTSS-MICITT, la cual orienta la implementación de accesibilidad digital en sitios y servicios tecnológicos del sector público (Poder Ejecutivo de Costa Rica, 2024).</w:t>
      </w:r>
    </w:p>
    <w:p w14:paraId="6D3BEDE9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Además, se tomaron como referencia los principios generales de las Pautas de Accesibilidad para el Contenido Web (WCAG): contenido perceptible, operable, comprensible y robusto (World Wide Web Consortium, 2026). En el contexto del proyecto, estos criterios se aplicaron de forma práctica sobre las vistas WPF solicitadas.</w:t>
      </w:r>
    </w:p>
    <w:p w14:paraId="6D6AE630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Las medidas incorporadas incluyen:</w:t>
      </w:r>
    </w:p>
    <w:p w14:paraId="7955479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nombres accesibles mediante </w:t>
      </w:r>
      <w:r>
        <w:rPr>
          <w:rFonts w:ascii="Courier New" w:hAnsi="Courier New" w:eastAsia="Courier New"/>
          <w:b w:val="0"/>
          <w:i w:val="0"/>
          <w:sz w:val="22"/>
        </w:rPr>
        <w:t>AutomationProperties.Name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4D67C3C7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textos de ayuda mediante </w:t>
      </w:r>
      <w:r>
        <w:rPr>
          <w:rFonts w:ascii="Courier New" w:hAnsi="Courier New" w:eastAsia="Courier New"/>
          <w:b w:val="0"/>
          <w:i w:val="0"/>
          <w:sz w:val="22"/>
        </w:rPr>
        <w:t>AutomationProperties.HelpText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4684C3B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navegación por tabulación mediante </w:t>
      </w:r>
      <w:r>
        <w:rPr>
          <w:rFonts w:ascii="Courier New" w:hAnsi="Courier New" w:eastAsia="Courier New"/>
          <w:b w:val="0"/>
          <w:i w:val="0"/>
          <w:sz w:val="22"/>
        </w:rPr>
        <w:t>TabIndex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y </w:t>
      </w:r>
      <w:r>
        <w:rPr>
          <w:rFonts w:ascii="Courier New" w:hAnsi="Courier New" w:eastAsia="Courier New"/>
          <w:b w:val="0"/>
          <w:i w:val="0"/>
          <w:sz w:val="22"/>
        </w:rPr>
        <w:t>KeyboardNavigation.TabNavigation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05CEF312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mensajes de estado con </w:t>
      </w:r>
      <w:r>
        <w:rPr>
          <w:rFonts w:ascii="Courier New" w:hAnsi="Courier New" w:eastAsia="Courier New"/>
          <w:b w:val="0"/>
          <w:i w:val="0"/>
          <w:sz w:val="22"/>
        </w:rPr>
        <w:t>AutomationProperties.LiveSetting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para notificación a tecnologías de apoyo;</w:t>
      </w:r>
    </w:p>
    <w:p w14:paraId="0E059110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encabezados identificados con </w:t>
      </w:r>
      <w:r>
        <w:rPr>
          <w:rFonts w:ascii="Courier New" w:hAnsi="Courier New" w:eastAsia="Courier New"/>
          <w:b w:val="0"/>
          <w:i w:val="0"/>
          <w:sz w:val="22"/>
        </w:rPr>
        <w:t>AutomationProperties.HeadingLevel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2606153D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controles identificables para acciones principales.</w:t>
      </w:r>
    </w:p>
    <w:p>
      <w:pPr>
        <w:pStyle w:val="31"/>
      </w:pPr>
      <w:r>
        <w:t>alternancia visual entre tema oscuro y tema claro mediante recursos dinámicos de WPF.</w:t>
      </w:r>
    </w:p>
    <w:p w14:paraId="27C646BA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Estas medidas no sustituyen una auditoría formal de accesibilidad ni una validación con lectores de pantalla, pero sí permiten defender que la interfaz fue construida considerando accesibilidad desde el diseño y no como un ajuste posterior.</w:t>
      </w:r>
    </w:p>
    <w:p>
      <w:pPr>
        <w:pStyle w:val="3"/>
      </w:pPr>
      <w:r>
        <w:t>Tema claro y oscuro</w:t>
      </w:r>
    </w:p>
    <w:p>
      <w:pPr/>
      <w:r>
        <w:t>Durante la revisión final se implementó cambio dinámico entre tema oscuro y tema claro en WPF. La mejora es valiosa desde el punto de vista de accesibilidad visual, ya que permite adaptar la interfaz a usuarios que requieran mayor claridad, contraste diferente o menor fatiga visual.</w:t>
      </w:r>
    </w:p>
    <w:p>
      <w:pPr/>
      <w:r>
        <w:t>La implementación utiliza diccionarios de recursos DarkTheme.xaml y LightTheme.xaml, cargados desde App.xaml. La clase App expone el cambio de tema y MainWindow incorpora un botón para alternar entre ambos modos. Las vistas principales reemplazaron colores fijos por DynamicResource, de forma que el cambio se aplica en cuentas bancarias, nueva orden y ventanas de búsqueda.</w:t>
      </w:r>
    </w:p>
    <w:p w14:paraId="7B8A829E">
      <w:pPr>
        <w:pStyle w:val="2"/>
        <w:keepNext/>
        <w:spacing w:line="480" w:lineRule="auto"/>
        <w:jc w:val="left"/>
      </w:pPr>
      <w:bookmarkStart w:id="17" w:name="_Toc30597"/>
      <w:r>
        <w:rPr>
          <w:rFonts w:ascii="Times New Roman" w:hAnsi="Times New Roman" w:eastAsia="Times New Roman"/>
          <w:b/>
          <w:i w:val="0"/>
          <w:sz w:val="24"/>
        </w:rPr>
        <w:t>Conclusiones</w:t>
      </w:r>
      <w:bookmarkEnd w:id="17"/>
    </w:p>
    <w:p w14:paraId="658652C4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proyecto cuenta con una estructura funcional alineada con el enunciado: backend RESTful, WPF, SQL Server, CRUD de cuentas bancarias y orden maestro-detalle. La parte transaccional se encuentra implementada en la capa de datos, que es donde corresponde según el diseño por capas.</w:t>
      </w:r>
    </w:p>
    <w:p w14:paraId="28F58C4E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  <w:r>
        <w:t>La versión final incorpora además pruebas unitarias de la capa de negocio, validación del archivo .http, fecha visible en la orden, código de producto en la matriz de detalle y alternancia visual entre tema oscuro y tema claro. Para cerrar la entrega administrativa, falta anexar las capturas manuales de WPF y exportar este informe a PDF. La evidencia de API, inventario y rollback ya fue registrada contra SQL Server del curso.</w:t>
      </w:r>
    </w:p>
    <w:p w14:paraId="1B8F3883">
      <w:pPr>
        <w:pStyle w:val="2"/>
        <w:keepNext/>
        <w:spacing w:line="480" w:lineRule="auto"/>
        <w:jc w:val="left"/>
      </w:pPr>
      <w:bookmarkStart w:id="18" w:name="_Toc27005"/>
      <w:r>
        <w:rPr>
          <w:rFonts w:ascii="Times New Roman" w:hAnsi="Times New Roman" w:eastAsia="Times New Roman"/>
          <w:b/>
          <w:i w:val="0"/>
          <w:sz w:val="24"/>
        </w:rPr>
        <w:t>Bitácora</w:t>
      </w:r>
      <w:bookmarkEnd w:id="18"/>
    </w:p>
    <w:p w14:paraId="36D8B772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bitácora se encuentra en:</w:t>
      </w:r>
    </w:p>
    <w:p w14:paraId="0C4D803F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docs/BITACORA_TAREAS.md</w:t>
      </w:r>
    </w:p>
    <w:p w14:paraId="58167537">
      <w:pPr>
        <w:pStyle w:val="2"/>
        <w:keepNext/>
        <w:spacing w:line="480" w:lineRule="auto"/>
        <w:jc w:val="left"/>
      </w:pPr>
      <w:bookmarkStart w:id="19" w:name="_Toc673"/>
      <w:r>
        <w:rPr>
          <w:rFonts w:ascii="Times New Roman" w:hAnsi="Times New Roman" w:eastAsia="Times New Roman"/>
          <w:b/>
          <w:i w:val="0"/>
          <w:sz w:val="24"/>
        </w:rPr>
        <w:t>Anexos</w:t>
      </w:r>
      <w:bookmarkEnd w:id="19"/>
    </w:p>
    <w:p w14:paraId="55CFDFD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Script SQL: </w:t>
      </w:r>
      <w:r>
        <w:rPr>
          <w:rFonts w:ascii="Courier New" w:hAnsi="Courier New" w:eastAsia="Courier New"/>
          <w:b w:val="0"/>
          <w:i w:val="0"/>
          <w:sz w:val="22"/>
        </w:rPr>
        <w:t>Proyecto_backend/database/00_create_salespro.sql</w:t>
      </w:r>
    </w:p>
    <w:p w14:paraId="02FB90ED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Pruebas HTTP: </w:t>
      </w:r>
      <w:r>
        <w:rPr>
          <w:rFonts w:ascii="Courier New" w:hAnsi="Courier New" w:eastAsia="Courier New"/>
          <w:b w:val="0"/>
          <w:i w:val="0"/>
          <w:sz w:val="22"/>
        </w:rPr>
        <w:t>Proyecto_backend/SalesPro.Api/SalesPro.Api.http</w:t>
      </w:r>
    </w:p>
    <w:p w14:paraId="1BA07A4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Diagrama ER: </w:t>
      </w:r>
      <w:r>
        <w:rPr>
          <w:rFonts w:ascii="Courier New" w:hAnsi="Courier New" w:eastAsia="Courier New"/>
          <w:b w:val="0"/>
          <w:i w:val="0"/>
          <w:sz w:val="22"/>
        </w:rPr>
        <w:t>docs/diagramas/ER.md</w:t>
      </w:r>
    </w:p>
    <w:p w14:paraId="148948B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Modelo dominio: </w:t>
      </w:r>
      <w:r>
        <w:rPr>
          <w:rFonts w:ascii="Courier New" w:hAnsi="Courier New" w:eastAsia="Courier New"/>
          <w:b w:val="0"/>
          <w:i w:val="0"/>
          <w:sz w:val="22"/>
        </w:rPr>
        <w:t>docs/diagramas/DOMINIO.md</w:t>
      </w:r>
    </w:p>
    <w:p w14:paraId="5F37AA9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Evidencia transacciones: </w:t>
      </w:r>
      <w:r>
        <w:rPr>
          <w:rFonts w:ascii="Courier New" w:hAnsi="Courier New" w:eastAsia="Courier New"/>
          <w:b w:val="0"/>
          <w:i w:val="0"/>
          <w:sz w:val="22"/>
        </w:rPr>
        <w:t>docs/EVIDENCIA_TRANSACCIONES.md</w:t>
      </w:r>
    </w:p>
    <w:p w14:paraId="21084C89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Evidencia CRUD: </w:t>
      </w:r>
      <w:r>
        <w:rPr>
          <w:rFonts w:ascii="Courier New" w:hAnsi="Courier New" w:eastAsia="Courier New"/>
          <w:b w:val="0"/>
          <w:i w:val="0"/>
          <w:sz w:val="22"/>
        </w:rPr>
        <w:t>docs/EVIDENCIA_CRUD_CUENTAS.md</w:t>
      </w:r>
    </w:p>
    <w:p w14:paraId="5FC1B92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Evidencia orden WPF: </w:t>
      </w:r>
      <w:r>
        <w:rPr>
          <w:rFonts w:ascii="Courier New" w:hAnsi="Courier New" w:eastAsia="Courier New"/>
          <w:b w:val="0"/>
          <w:i w:val="0"/>
          <w:sz w:val="22"/>
        </w:rPr>
        <w:t>docs/EVIDENCIA_ORDEN_WPF.md</w:t>
      </w:r>
    </w:p>
    <w:p w14:paraId="191F358B">
      <w:pPr>
        <w:pStyle w:val="2"/>
        <w:keepNext/>
        <w:spacing w:line="480" w:lineRule="auto"/>
        <w:jc w:val="left"/>
      </w:pPr>
      <w:bookmarkStart w:id="20" w:name="_Toc21377"/>
      <w:r>
        <w:rPr>
          <w:rFonts w:ascii="Times New Roman" w:hAnsi="Times New Roman" w:eastAsia="Times New Roman"/>
          <w:b/>
          <w:i w:val="0"/>
          <w:sz w:val="24"/>
        </w:rPr>
        <w:t>Referencias</w:t>
      </w:r>
      <w:bookmarkEnd w:id="20"/>
    </w:p>
    <w:p w14:paraId="55088ED8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Microsoft. (s. f.). *ASP.NET Core documentation*. Microsoft Learn.</w:t>
      </w:r>
    </w:p>
    <w:p w14:paraId="7F1DC3E1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Microsoft. (s. f.). *Windows Presentation Foundation documentation*. Microsoft Learn.</w:t>
      </w:r>
    </w:p>
    <w:p w14:paraId="091E5F3C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Microsoft. (s. f.). *SQL Server documentation*. Microsoft Learn.</w:t>
      </w:r>
    </w:p>
    <w:p w14:paraId="70520FAA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Poder Ejecutivo de Costa Rica. (2024). *Directriz N.° 036-MTSS-MICITT: Implementación de accesibilidad de la red de los sitios del sector público*. Sistema Costarricense de Información Jurídica. https://pgrweb.go.cr/scij/Busqueda/Normativa/Normas/nrm_texto_completo.aspx?nValor1=1&amp;nValor2=101480&amp;nValor3=139934&amp;param1=NRTC&amp;strTipM=TC</w:t>
      </w:r>
    </w:p>
    <w:p w14:paraId="40DAB28F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World Wide Web Consortium. (2026). *Sumario de WCAG 2*. Web Accessibility Initiative. https://www.w3.org/WAI/standards-guidelines/wcag/es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3AF4B3">
    <w:pPr>
      <w:pStyle w:val="3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480" w:lineRule="auto"/>
      </w:pPr>
      <w:r>
        <w:separator/>
      </w:r>
    </w:p>
  </w:footnote>
  <w:footnote w:type="continuationSeparator" w:id="1">
    <w:p>
      <w:pPr>
        <w:spacing w:before="0" w:after="0" w:line="48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504F8">
    <w:pPr>
      <w:pStyle w:val="25"/>
      <w:jc w:val="right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2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1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9A11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480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0" w:after="0" w:line="480" w:lineRule="auto"/>
      <w:jc w:val="left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0" w:after="0" w:line="480" w:lineRule="auto"/>
      <w:jc w:val="left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0" w:after="0" w:line="480" w:lineRule="auto"/>
      <w:jc w:val="left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toc 1"/>
    <w:basedOn w:val="1"/>
    <w:next w:val="1"/>
    <w:semiHidden/>
    <w:unhideWhenUsed/>
    <w:uiPriority w:val="39"/>
  </w:style>
  <w:style w:type="paragraph" w:styleId="1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19">
    <w:name w:val="macro"/>
    <w:link w:val="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1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2">
    <w:name w:val="Body Text 2"/>
    <w:basedOn w:val="1"/>
    <w:link w:val="49"/>
    <w:unhideWhenUsed/>
    <w:uiPriority w:val="99"/>
    <w:pPr>
      <w:spacing w:after="120" w:line="480" w:lineRule="auto"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7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8">
    <w:name w:val="List 2"/>
    <w:basedOn w:val="1"/>
    <w:unhideWhenUsed/>
    <w:uiPriority w:val="99"/>
    <w:pPr>
      <w:ind w:left="720" w:hanging="360"/>
      <w:contextualSpacing/>
    </w:pPr>
  </w:style>
  <w:style w:type="paragraph" w:styleId="29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1">
    <w:name w:val="List Bullet"/>
    <w:basedOn w:val="1"/>
    <w:unhideWhenUsed/>
    <w:uiPriority w:val="99"/>
    <w:pPr>
      <w:numPr>
        <w:ilvl w:val="0"/>
        <w:numId w:val="5"/>
      </w:numPr>
      <w:spacing w:line="480" w:lineRule="auto"/>
      <w:ind w:left="720" w:hanging="360"/>
      <w:contextualSpacing/>
    </w:pPr>
    <w:rPr>
      <w:rFonts w:ascii="Times New Roman" w:hAnsi="Times New Roman" w:eastAsia="Times New Roman"/>
      <w:sz w:val="24"/>
    </w:rPr>
  </w:style>
  <w:style w:type="paragraph" w:styleId="32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4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5">
    <w:name w:val="Body Text"/>
    <w:basedOn w:val="1"/>
    <w:link w:val="48"/>
    <w:unhideWhenUsed/>
    <w:uiPriority w:val="99"/>
    <w:pPr>
      <w:spacing w:after="120"/>
    </w:pPr>
  </w:style>
  <w:style w:type="paragraph" w:styleId="36">
    <w:name w:val="Body Text 3"/>
    <w:basedOn w:val="1"/>
    <w:link w:val="50"/>
    <w:unhideWhenUsed/>
    <w:uiPriority w:val="99"/>
    <w:pPr>
      <w:spacing w:after="120"/>
    </w:pPr>
    <w:rPr>
      <w:sz w:val="16"/>
      <w:szCs w:val="16"/>
    </w:rPr>
  </w:style>
  <w:style w:type="paragraph" w:styleId="3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25"/>
    <w:qFormat/>
    <w:uiPriority w:val="99"/>
  </w:style>
  <w:style w:type="character" w:customStyle="1" w:styleId="40">
    <w:name w:val="Footer Char"/>
    <w:basedOn w:val="11"/>
    <w:link w:val="33"/>
    <w:qFormat/>
    <w:uiPriority w:val="99"/>
  </w:style>
  <w:style w:type="paragraph" w:styleId="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Body Text Char"/>
    <w:basedOn w:val="11"/>
    <w:link w:val="35"/>
    <w:uiPriority w:val="99"/>
  </w:style>
  <w:style w:type="character" w:customStyle="1" w:styleId="49">
    <w:name w:val="Body Text 2 Char"/>
    <w:basedOn w:val="11"/>
    <w:link w:val="22"/>
    <w:uiPriority w:val="99"/>
  </w:style>
  <w:style w:type="character" w:customStyle="1" w:styleId="50">
    <w:name w:val="Body Text 3 Char"/>
    <w:basedOn w:val="11"/>
    <w:link w:val="36"/>
    <w:uiPriority w:val="99"/>
    <w:rPr>
      <w:sz w:val="16"/>
      <w:szCs w:val="16"/>
    </w:rPr>
  </w:style>
  <w:style w:type="character" w:customStyle="1" w:styleId="51">
    <w:name w:val="Macro Text Char"/>
    <w:basedOn w:val="11"/>
    <w:link w:val="19"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Quote Char"/>
    <w:basedOn w:val="11"/>
    <w:link w:val="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Intense Quote Char"/>
    <w:basedOn w:val="11"/>
    <w:link w:val="60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7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Equipo 5</dc:creator>
  <cp:lastModifiedBy>sebas</cp:lastModifiedBy>
  <dcterms:modified xsi:type="dcterms:W3CDTF">2026-07-01T23:22:27Z</dcterms:modified>
  <dc:subject>Proyecto 2 - Lenguajes para Aplicaciones Comerciales</dc:subject>
  <dc:title>Informe Final Proyecto 2 Equipo 5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2058-12.1.0.26880</vt:lpwstr>
  </property>
  <property fmtid="{D5CDD505-2E9C-101B-9397-08002B2CF9AE}" pid="3" name="ICV">
    <vt:lpwstr>F3B47E99E75D4FDEB2A4D2D6EBC63F13_12</vt:lpwstr>
  </property>
</Properties>
</file>