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22A649"/>
    <w:p w14:paraId="2204C7B3"/>
    <w:p w14:paraId="5EFC77C5"/>
    <w:p w14:paraId="700BD90D"/>
    <w:p w14:paraId="2C22E8D6"/>
    <w:p w14:paraId="66AD608D">
      <w:pPr>
        <w:spacing w:before="0" w:after="0" w:line="480" w:lineRule="auto"/>
        <w:jc w:val="center"/>
      </w:pPr>
      <w:r>
        <w:rPr>
          <w:rFonts w:ascii="Times New Roman" w:hAnsi="Times New Roman"/>
          <w:b/>
          <w:sz w:val="24"/>
          <w:lang w:val="es-CR" w:eastAsia="es-CR" w:bidi="es-CR"/>
        </w:rPr>
        <w:t>Desarrollo de una aplicación web para gestión de punto de venta</w:t>
      </w:r>
    </w:p>
    <w:p w14:paraId="216E1408">
      <w:pPr>
        <w:spacing w:before="0" w:after="0" w:line="480" w:lineRule="auto"/>
        <w:jc w:val="center"/>
      </w:pPr>
      <w:r>
        <w:rPr>
          <w:rFonts w:ascii="Times New Roman" w:hAnsi="Times New Roman"/>
          <w:sz w:val="24"/>
          <w:lang w:val="es-CR" w:eastAsia="es-CR" w:bidi="es-CR"/>
        </w:rPr>
        <w:t>Proyecto 2 - Equipo 5</w:t>
      </w:r>
    </w:p>
    <w:p w14:paraId="3E3225C4">
      <w:pPr>
        <w:spacing w:before="0" w:after="0" w:line="480" w:lineRule="auto"/>
        <w:jc w:val="center"/>
      </w:pPr>
      <w:r>
        <w:rPr>
          <w:rFonts w:ascii="Times New Roman" w:hAnsi="Times New Roman"/>
          <w:sz w:val="24"/>
          <w:lang w:val="es-CR" w:eastAsia="es-CR" w:bidi="es-CR"/>
        </w:rPr>
        <w:t>Caleb Hernández Vega, Sebastián Cordero, Josué Delgado Corrales y Alejandro Porras</w:t>
      </w:r>
    </w:p>
    <w:p w14:paraId="467DE067">
      <w:pPr>
        <w:spacing w:before="0" w:after="0" w:line="480" w:lineRule="auto"/>
        <w:jc w:val="center"/>
      </w:pPr>
      <w:r>
        <w:rPr>
          <w:rFonts w:ascii="Times New Roman" w:hAnsi="Times New Roman"/>
          <w:sz w:val="24"/>
          <w:lang w:val="es-CR" w:eastAsia="es-CR" w:bidi="es-CR"/>
        </w:rPr>
        <w:t>Universidad de Costa Rica</w:t>
      </w:r>
    </w:p>
    <w:p w14:paraId="65B004A8">
      <w:pPr>
        <w:spacing w:before="0" w:after="0" w:line="480" w:lineRule="auto"/>
        <w:jc w:val="center"/>
      </w:pPr>
      <w:r>
        <w:rPr>
          <w:rFonts w:ascii="Times New Roman" w:hAnsi="Times New Roman"/>
          <w:sz w:val="24"/>
          <w:lang w:val="es-CR" w:eastAsia="es-CR" w:bidi="es-CR"/>
        </w:rPr>
        <w:t>Lenguajes para Aplicaciones Comerciales</w:t>
      </w:r>
    </w:p>
    <w:p w14:paraId="64E3C543">
      <w:pPr>
        <w:spacing w:before="0" w:after="0" w:line="480" w:lineRule="auto"/>
        <w:jc w:val="center"/>
      </w:pPr>
      <w:r>
        <w:rPr>
          <w:rFonts w:ascii="Times New Roman" w:hAnsi="Times New Roman"/>
          <w:sz w:val="24"/>
          <w:lang w:val="es-CR" w:eastAsia="es-CR" w:bidi="es-CR"/>
        </w:rPr>
        <w:t>2 de julio de 2026</w:t>
      </w:r>
    </w:p>
    <w:p w14:paraId="6B29C2E0">
      <w:r>
        <w:br w:type="page"/>
      </w:r>
    </w:p>
    <w:p w14:paraId="375B29DA">
      <w:pPr>
        <w:spacing w:before="0" w:after="0" w:line="480" w:lineRule="auto"/>
        <w:jc w:val="left"/>
      </w:pPr>
      <w:r>
        <w:rPr>
          <w:rFonts w:ascii="Times New Roman" w:hAnsi="Times New Roman"/>
          <w:b/>
          <w:sz w:val="24"/>
          <w:lang w:val="es-CR" w:eastAsia="es-CR" w:bidi="es-CR"/>
        </w:rPr>
        <w:t>Tabla de contenido</w:t>
      </w:r>
    </w:p>
    <w:p w14:paraId="15D477D5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TOC \o "1-3" \h \z \u </w:instrText>
      </w:r>
      <w:r>
        <w:rPr>
          <w:rFonts w:hint="default"/>
          <w:lang w:val="es-MX"/>
        </w:rPr>
        <w:fldChar w:fldCharType="separate"/>
      </w: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_Toc17040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Resumen</w:t>
      </w:r>
      <w:r>
        <w:tab/>
      </w:r>
      <w:r>
        <w:fldChar w:fldCharType="begin"/>
      </w:r>
      <w:r>
        <w:instrText xml:space="preserve"> PAGEREF _Toc17040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4D4E08A6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_Toc17873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Integrantes</w:t>
      </w:r>
      <w:r>
        <w:tab/>
      </w:r>
      <w:r>
        <w:fldChar w:fldCharType="begin"/>
      </w:r>
      <w:r>
        <w:instrText xml:space="preserve"> PAGEREF _Toc17873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42DF924E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_Toc6093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Objetivos</w:t>
      </w:r>
      <w:r>
        <w:tab/>
      </w:r>
      <w:r>
        <w:fldChar w:fldCharType="begin"/>
      </w:r>
      <w:r>
        <w:instrText xml:space="preserve"> PAGEREF _Toc6093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0678AA8B">
      <w:pPr>
        <w:pStyle w:val="18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_Toc11728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Objetivo general</w:t>
      </w:r>
      <w:r>
        <w:tab/>
      </w:r>
      <w:r>
        <w:fldChar w:fldCharType="begin"/>
      </w:r>
      <w:r>
        <w:instrText xml:space="preserve"> PAGEREF _Toc11728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6ADC52A5">
      <w:pPr>
        <w:pStyle w:val="18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_Toc10836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Objetivos específicos</w:t>
      </w:r>
      <w:r>
        <w:tab/>
      </w:r>
      <w:r>
        <w:fldChar w:fldCharType="begin"/>
      </w:r>
      <w:r>
        <w:instrText xml:space="preserve"> PAGEREF _Toc10836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61E6098E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_Toc4558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Especificación de la necesidad</w:t>
      </w:r>
      <w:r>
        <w:tab/>
      </w:r>
      <w:r>
        <w:fldChar w:fldCharType="begin"/>
      </w:r>
      <w:r>
        <w:instrText xml:space="preserve"> PAGEREF _Toc4558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678F5E47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_Toc14914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Arquitectura</w:t>
      </w:r>
      <w:r>
        <w:tab/>
      </w:r>
      <w:r>
        <w:fldChar w:fldCharType="begin"/>
      </w:r>
      <w:r>
        <w:instrText xml:space="preserve"> PAGEREF _Toc14914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0C777EF5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_Toc624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API RESTful desarrollada</w:t>
      </w:r>
      <w:r>
        <w:tab/>
      </w:r>
      <w:r>
        <w:fldChar w:fldCharType="begin"/>
      </w:r>
      <w:r>
        <w:instrText xml:space="preserve"> PAGEREF _Toc624 \h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3A1A60DE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_Toc2743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Modelo entidad-relación</w:t>
      </w:r>
      <w:r>
        <w:tab/>
      </w:r>
      <w:r>
        <w:fldChar w:fldCharType="begin"/>
      </w:r>
      <w:r>
        <w:instrText xml:space="preserve"> PAGEREF _Toc2743 \h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1391E43B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_Toc7969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Modelo de dominio</w:t>
      </w:r>
      <w:r>
        <w:tab/>
      </w:r>
      <w:r>
        <w:fldChar w:fldCharType="begin"/>
      </w:r>
      <w:r>
        <w:instrText xml:space="preserve"> PAGEREF _Toc7969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271B89F1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_Toc11027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Funcionalidades implementadas</w:t>
      </w:r>
      <w:r>
        <w:tab/>
      </w:r>
      <w:r>
        <w:fldChar w:fldCharType="begin"/>
      </w:r>
      <w:r>
        <w:instrText xml:space="preserve"> PAGEREF _Toc11027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1645FC03">
      <w:pPr>
        <w:pStyle w:val="18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_Toc30938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CRUD de cuentas bancarias</w:t>
      </w:r>
      <w:r>
        <w:tab/>
      </w:r>
      <w:r>
        <w:fldChar w:fldCharType="begin"/>
      </w:r>
      <w:r>
        <w:instrText xml:space="preserve"> PAGEREF _Toc30938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7D5D7293">
      <w:pPr>
        <w:pStyle w:val="18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_Toc4900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Registro de orden</w:t>
      </w:r>
      <w:r>
        <w:tab/>
      </w:r>
      <w:r>
        <w:fldChar w:fldCharType="begin"/>
      </w:r>
      <w:r>
        <w:instrText xml:space="preserve"> PAGEREF _Toc4900 \h </w:instrText>
      </w:r>
      <w:r>
        <w:fldChar w:fldCharType="separate"/>
      </w:r>
      <w:r>
        <w:t>7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54D7DBC2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_Toc28699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Manejo transaccional</w:t>
      </w:r>
      <w:r>
        <w:tab/>
      </w:r>
      <w:r>
        <w:fldChar w:fldCharType="begin"/>
      </w:r>
      <w:r>
        <w:instrText xml:space="preserve"> PAGEREF _Toc28699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7ADD5088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_Toc29089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Pruebas</w:t>
      </w:r>
      <w:r>
        <w:tab/>
      </w:r>
      <w:r>
        <w:fldChar w:fldCharType="begin"/>
      </w:r>
      <w:r>
        <w:instrText xml:space="preserve"> PAGEREF _Toc29089 \h </w:instrText>
      </w:r>
      <w:r>
        <w:fldChar w:fldCharType="separate"/>
      </w:r>
      <w:r>
        <w:t>8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3CF275EA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_Toc4088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Accesibilidad</w:t>
      </w:r>
      <w:r>
        <w:tab/>
      </w:r>
      <w:r>
        <w:fldChar w:fldCharType="begin"/>
      </w:r>
      <w:r>
        <w:instrText xml:space="preserve"> PAGEREF _Toc4088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06DB0947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_Toc18349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Trazabilidad Git y aportes verificables</w:t>
      </w:r>
      <w:r>
        <w:tab/>
      </w:r>
      <w:r>
        <w:fldChar w:fldCharType="begin"/>
      </w:r>
      <w:r>
        <w:instrText xml:space="preserve"> PAGEREF _Toc18349 \h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3739686B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_Toc13846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Conclusiones</w:t>
      </w:r>
      <w:r>
        <w:tab/>
      </w:r>
      <w:r>
        <w:fldChar w:fldCharType="begin"/>
      </w:r>
      <w:r>
        <w:instrText xml:space="preserve"> PAGEREF _Toc13846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59705704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_Toc305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Bitácora</w:t>
      </w:r>
      <w:r>
        <w:tab/>
      </w:r>
      <w:r>
        <w:fldChar w:fldCharType="begin"/>
      </w:r>
      <w:r>
        <w:instrText xml:space="preserve"> PAGEREF _Toc305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538E9843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_Toc6160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Anexos</w:t>
      </w:r>
      <w:r>
        <w:tab/>
      </w:r>
      <w:r>
        <w:fldChar w:fldCharType="begin"/>
      </w:r>
      <w:r>
        <w:instrText xml:space="preserve"> PAGEREF _Toc6160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665B79E6">
      <w:pPr>
        <w:pStyle w:val="17"/>
        <w:tabs>
          <w:tab w:val="right" w:leader="dot" w:pos="9360"/>
        </w:tabs>
      </w:pPr>
      <w:r>
        <w:rPr>
          <w:rFonts w:hint="default"/>
          <w:lang w:val="es-MX"/>
        </w:rPr>
        <w:fldChar w:fldCharType="begin"/>
      </w:r>
      <w:r>
        <w:rPr>
          <w:rFonts w:hint="default"/>
          <w:lang w:val="es-MX"/>
        </w:rPr>
        <w:instrText xml:space="preserve"> HYPERLINK \l _Toc31056 </w:instrText>
      </w:r>
      <w:r>
        <w:rPr>
          <w:rFonts w:hint="default"/>
          <w:lang w:val="es-MX"/>
        </w:rPr>
        <w:fldChar w:fldCharType="separate"/>
      </w:r>
      <w:r>
        <w:rPr>
          <w:rFonts w:ascii="Times New Roman" w:hAnsi="Times New Roman"/>
          <w:i w:val="0"/>
          <w:lang w:val="es-CR" w:eastAsia="es-CR" w:bidi="es-CR"/>
        </w:rPr>
        <w:t>Referencias</w:t>
      </w:r>
      <w:r>
        <w:tab/>
      </w:r>
      <w:r>
        <w:fldChar w:fldCharType="begin"/>
      </w:r>
      <w:r>
        <w:instrText xml:space="preserve"> PAGEREF _Toc31056 \h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lang w:val="es-MX"/>
        </w:rPr>
        <w:fldChar w:fldCharType="end"/>
      </w:r>
    </w:p>
    <w:p w14:paraId="1B28D3E5">
      <w:pPr>
        <w:spacing w:before="0" w:after="0" w:line="240" w:lineRule="auto"/>
        <w:jc w:val="left"/>
        <w:rPr>
          <w:rFonts w:hint="default"/>
          <w:lang w:val="es-MX"/>
        </w:rPr>
      </w:pPr>
      <w:r>
        <w:rPr>
          <w:rFonts w:hint="default"/>
          <w:lang w:val="es-MX"/>
        </w:rPr>
        <w:fldChar w:fldCharType="end"/>
      </w:r>
      <w:bookmarkStart w:id="21" w:name="_GoBack"/>
      <w:bookmarkEnd w:id="21"/>
    </w:p>
    <w:p w14:paraId="7FFE7EAB">
      <w:r>
        <w:br w:type="page"/>
      </w:r>
    </w:p>
    <w:p w14:paraId="034D7587">
      <w:pPr>
        <w:pStyle w:val="2"/>
        <w:spacing w:before="240" w:after="0" w:line="480" w:lineRule="auto"/>
        <w:jc w:val="left"/>
      </w:pPr>
      <w:bookmarkStart w:id="0" w:name="_Toc17040"/>
      <w:r>
        <w:rPr>
          <w:rFonts w:ascii="Times New Roman" w:hAnsi="Times New Roman"/>
          <w:b/>
          <w:i w:val="0"/>
          <w:sz w:val="24"/>
          <w:lang w:val="es-CR" w:eastAsia="es-CR" w:bidi="es-CR"/>
        </w:rPr>
        <w:t>Resumen</w:t>
      </w:r>
      <w:bookmarkEnd w:id="0"/>
    </w:p>
    <w:p w14:paraId="01FB774E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El proyecto implementa una aplicación de punto de venta con backend en ASP.NET Core Web API y frontend en WPF. El backend expone servicios RESTful, aplica una arquitectura por capas y utiliza ADO.NET contra SQL Server. El frontend consume la API mediante ViewModels y permite ejecutar las dos funcionalidades solicitadas: el CRUD asignado al Equipo 5, correspondiente a cuentas bancarias, y el registro de una orden de venta con estructura maestro-detalle.</w:t>
      </w:r>
    </w:p>
    <w:p w14:paraId="6E0014D2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El registro de órdenes contempla selección de cliente, búsqueda de productos, cantidades, subtotal, impuesto, total e impacto sobre inventario. La persistencia de la orden se ejecuta dentro de una transacción SQL para evitar inconsistencias si ocurre un error durante la operación.</w:t>
      </w:r>
    </w:p>
    <w:p w14:paraId="598B4452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Estado de evidencia: se anexó evidencia real de API, CRUD de cuentas bancarias y transacciones contra SQL Server del curso. Quedan pendientes las capturas manuales de WPF para respaldar visualmente la interfaz.</w:t>
      </w:r>
    </w:p>
    <w:p w14:paraId="125E79B0">
      <w:pPr>
        <w:pStyle w:val="2"/>
        <w:spacing w:before="240" w:after="0" w:line="480" w:lineRule="auto"/>
        <w:jc w:val="left"/>
      </w:pPr>
      <w:bookmarkStart w:id="1" w:name="_Toc17873"/>
      <w:r>
        <w:rPr>
          <w:rFonts w:ascii="Times New Roman" w:hAnsi="Times New Roman"/>
          <w:b/>
          <w:i w:val="0"/>
          <w:sz w:val="24"/>
          <w:lang w:val="es-CR" w:eastAsia="es-CR" w:bidi="es-CR"/>
        </w:rPr>
        <w:t>Integrantes</w:t>
      </w:r>
      <w:bookmarkEnd w:id="1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67D63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B94F9E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Integrante</w:t>
            </w:r>
          </w:p>
        </w:tc>
        <w:tc>
          <w:tcPr>
            <w:tcW w:w="468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D35E8C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GitHub</w:t>
            </w:r>
          </w:p>
        </w:tc>
      </w:tr>
      <w:tr w14:paraId="031C5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4B165C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Caleb Hernández Vega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1EF34F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`CalebHv21`</w:t>
            </w:r>
          </w:p>
        </w:tc>
      </w:tr>
      <w:tr w14:paraId="3E45D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DAD418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Sebastián Cordero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8537A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`cbastiancq-lab`</w:t>
            </w:r>
          </w:p>
        </w:tc>
      </w:tr>
      <w:tr w14:paraId="5C892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FF649C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Josué Delgado Corrales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BC19F3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`JosueDelgadoCorrales`</w:t>
            </w:r>
          </w:p>
        </w:tc>
      </w:tr>
      <w:tr w14:paraId="1CA26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C3C7B4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Alejandro Porras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072037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`axpew`</w:t>
            </w:r>
          </w:p>
        </w:tc>
      </w:tr>
    </w:tbl>
    <w:p w14:paraId="6EE791D4"/>
    <w:p w14:paraId="15937CB9">
      <w:pPr>
        <w:pStyle w:val="2"/>
        <w:spacing w:before="240" w:after="0" w:line="480" w:lineRule="auto"/>
        <w:jc w:val="left"/>
      </w:pPr>
      <w:bookmarkStart w:id="2" w:name="_Toc6093"/>
      <w:r>
        <w:rPr>
          <w:rFonts w:ascii="Times New Roman" w:hAnsi="Times New Roman"/>
          <w:b/>
          <w:i w:val="0"/>
          <w:sz w:val="24"/>
          <w:lang w:val="es-CR" w:eastAsia="es-CR" w:bidi="es-CR"/>
        </w:rPr>
        <w:t>Objetivos</w:t>
      </w:r>
      <w:bookmarkEnd w:id="2"/>
    </w:p>
    <w:p w14:paraId="3A0B1FD6">
      <w:pPr>
        <w:pStyle w:val="3"/>
        <w:spacing w:before="160" w:after="0" w:line="480" w:lineRule="auto"/>
        <w:jc w:val="left"/>
      </w:pPr>
      <w:bookmarkStart w:id="3" w:name="_Toc11728"/>
      <w:r>
        <w:rPr>
          <w:rFonts w:ascii="Times New Roman" w:hAnsi="Times New Roman"/>
          <w:b/>
          <w:i w:val="0"/>
          <w:sz w:val="24"/>
          <w:lang w:val="es-CR" w:eastAsia="es-CR" w:bidi="es-CR"/>
        </w:rPr>
        <w:t>Objetivo general</w:t>
      </w:r>
      <w:bookmarkEnd w:id="3"/>
    </w:p>
    <w:p w14:paraId="5559BE32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Desarrollar una aplicación de punto de venta con backend RESTful en ASP.NET Core Web API, frontend WPF y persistencia en SQL Server, cumpliendo los requerimientos funcionales asignados al Equipo 5.</w:t>
      </w:r>
    </w:p>
    <w:p w14:paraId="74DF27D8">
      <w:pPr>
        <w:pStyle w:val="3"/>
        <w:spacing w:before="160" w:after="0" w:line="480" w:lineRule="auto"/>
        <w:jc w:val="left"/>
      </w:pPr>
      <w:bookmarkStart w:id="4" w:name="_Toc10836"/>
      <w:r>
        <w:rPr>
          <w:rFonts w:ascii="Times New Roman" w:hAnsi="Times New Roman"/>
          <w:b/>
          <w:i w:val="0"/>
          <w:sz w:val="24"/>
          <w:lang w:val="es-CR" w:eastAsia="es-CR" w:bidi="es-CR"/>
        </w:rPr>
        <w:t>Objetivos específicos</w:t>
      </w:r>
      <w:bookmarkEnd w:id="4"/>
    </w:p>
    <w:p w14:paraId="3634046C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Implementar el CRUD de cuentas bancarias.</w:t>
      </w:r>
    </w:p>
    <w:p w14:paraId="444DAE6A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Implementar una orden de venta maestro-detalle.</w:t>
      </w:r>
    </w:p>
    <w:p w14:paraId="275AA100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Consumir la API REST desde WPF.</w:t>
      </w:r>
    </w:p>
    <w:p w14:paraId="7527F29D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Aplicar una arquitectura por capas: API, negocio, datos y dominio.</w:t>
      </w:r>
    </w:p>
    <w:p w14:paraId="74FFA11A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Utilizar ADO.NET y transacciones SQL donde corresponda.</w:t>
      </w:r>
    </w:p>
    <w:p w14:paraId="35132330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Documentar endpoints, modelo entidad-relación, modelo de dominio, pruebas y bitácora.</w:t>
      </w:r>
    </w:p>
    <w:p w14:paraId="59498EB2">
      <w:pPr>
        <w:pStyle w:val="2"/>
        <w:spacing w:before="240" w:after="0" w:line="480" w:lineRule="auto"/>
        <w:jc w:val="left"/>
      </w:pPr>
      <w:bookmarkStart w:id="5" w:name="_Toc4558"/>
      <w:r>
        <w:rPr>
          <w:rFonts w:ascii="Times New Roman" w:hAnsi="Times New Roman"/>
          <w:b/>
          <w:i w:val="0"/>
          <w:sz w:val="24"/>
          <w:lang w:val="es-CR" w:eastAsia="es-CR" w:bidi="es-CR"/>
        </w:rPr>
        <w:t>Especificación de la necesidad</w:t>
      </w:r>
      <w:bookmarkEnd w:id="5"/>
    </w:p>
    <w:p w14:paraId="5984EAEA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El sistema permite administrar cuentas bancarias de compañía y registrar órdenes de venta. La orden debe asociarse a un cliente, contener productos con cantidades, calcular importes, procesarse contra la base de datos y actualizar inventario.</w:t>
      </w:r>
    </w:p>
    <w:p w14:paraId="54D9E926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El sistema se divide en:</w:t>
      </w:r>
    </w:p>
    <w:p w14:paraId="39D14623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Backend: expone API RESTful y ejecuta reglas de negocio.</w:t>
      </w:r>
    </w:p>
    <w:p w14:paraId="74048995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Capa de datos: consulta y modifica SQL Server mediante ADO.NET.</w:t>
      </w:r>
    </w:p>
    <w:p w14:paraId="7D4AB5D2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WPF: consume la API y muestra las interfaces de cuentas bancarias y nueva orden.</w:t>
      </w:r>
    </w:p>
    <w:p w14:paraId="4E57B741">
      <w:pPr>
        <w:pStyle w:val="2"/>
        <w:spacing w:before="240" w:after="0" w:line="480" w:lineRule="auto"/>
        <w:jc w:val="left"/>
      </w:pPr>
      <w:bookmarkStart w:id="6" w:name="_Toc14914"/>
      <w:r>
        <w:rPr>
          <w:rFonts w:ascii="Times New Roman" w:hAnsi="Times New Roman"/>
          <w:b/>
          <w:i w:val="0"/>
          <w:sz w:val="24"/>
          <w:lang w:val="es-CR" w:eastAsia="es-CR" w:bidi="es-CR"/>
        </w:rPr>
        <w:t>Arquitectura</w:t>
      </w:r>
      <w:bookmarkEnd w:id="6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4C17A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58B8C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Capa</w:t>
            </w:r>
          </w:p>
        </w:tc>
        <w:tc>
          <w:tcPr>
            <w:tcW w:w="312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BAD374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Proyecto</w:t>
            </w:r>
          </w:p>
        </w:tc>
        <w:tc>
          <w:tcPr>
            <w:tcW w:w="312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59DB0D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Responsabilidad</w:t>
            </w:r>
          </w:p>
        </w:tc>
      </w:tr>
      <w:tr w14:paraId="04D13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FD91CC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API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F52F0C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`SalesPro.Api`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5BFDD9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Controladores REST, Swagger, configuración y manejo de errores.</w:t>
            </w:r>
          </w:p>
        </w:tc>
      </w:tr>
      <w:tr w14:paraId="3F52B5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B68DC3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Negocio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E7E891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`SalesPro.Business`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6D1A6F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Validaciones y reglas de negocio.</w:t>
            </w:r>
          </w:p>
        </w:tc>
      </w:tr>
      <w:tr w14:paraId="3A502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FF4EE1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Datos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9BD34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`SalesPro.Data`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21A227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Repositorios ADO.NET, consultas SQL y transacciones.</w:t>
            </w:r>
          </w:p>
        </w:tc>
      </w:tr>
      <w:tr w14:paraId="05703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8DF4F5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Dominio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F274A6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`SalesPro.Domain`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8711E5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Entidades base y excepciones del dominio.</w:t>
            </w:r>
          </w:p>
        </w:tc>
      </w:tr>
      <w:tr w14:paraId="5270B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67FD1D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Contratos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5BBF25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`SalesPro.Contracts`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CC69E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DTOs, requests y responses compartidos con WPF.</w:t>
            </w:r>
          </w:p>
        </w:tc>
      </w:tr>
      <w:tr w14:paraId="7ACBC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DD72C2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Frontend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A3A683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`SalesPro.Wpf`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A702C7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Vistas WPF, ViewModels y consumo de API.</w:t>
            </w:r>
          </w:p>
        </w:tc>
      </w:tr>
    </w:tbl>
    <w:p w14:paraId="0DD5777D"/>
    <w:p w14:paraId="33D2AB4B">
      <w:pPr>
        <w:pStyle w:val="2"/>
        <w:spacing w:before="240" w:after="0" w:line="480" w:lineRule="auto"/>
        <w:jc w:val="left"/>
      </w:pPr>
      <w:bookmarkStart w:id="7" w:name="_Toc624"/>
      <w:r>
        <w:rPr>
          <w:rFonts w:ascii="Times New Roman" w:hAnsi="Times New Roman"/>
          <w:b/>
          <w:i w:val="0"/>
          <w:sz w:val="24"/>
          <w:lang w:val="es-CR" w:eastAsia="es-CR" w:bidi="es-CR"/>
        </w:rPr>
        <w:t>API RESTful desarrollada</w:t>
      </w:r>
      <w:bookmarkEnd w:id="7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2"/>
        <w:gridCol w:w="2669"/>
        <w:gridCol w:w="1694"/>
        <w:gridCol w:w="1744"/>
        <w:gridCol w:w="1731"/>
      </w:tblGrid>
      <w:tr w14:paraId="77781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2AD47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Recurso</w:t>
            </w:r>
          </w:p>
        </w:tc>
        <w:tc>
          <w:tcPr>
            <w:tcW w:w="1872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28617F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URL</w:t>
            </w:r>
          </w:p>
        </w:tc>
        <w:tc>
          <w:tcPr>
            <w:tcW w:w="1872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1E1DE2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Método</w:t>
            </w:r>
          </w:p>
        </w:tc>
        <w:tc>
          <w:tcPr>
            <w:tcW w:w="1872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D1AF2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Descripción</w:t>
            </w:r>
          </w:p>
        </w:tc>
        <w:tc>
          <w:tcPr>
            <w:tcW w:w="1872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E481BF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Respuestas principales</w:t>
            </w:r>
          </w:p>
        </w:tc>
      </w:tr>
      <w:tr w14:paraId="58F69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FAA05D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Estado API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13113E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77F591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GET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06E86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Verifica que la API responde.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7AE510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200</w:t>
            </w:r>
          </w:p>
        </w:tc>
      </w:tr>
      <w:tr w14:paraId="1FFE4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775DF2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Bancos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55B44D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`/api/catalogos/bancos`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0BBB23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GET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ADEC8F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Lista bancos disponibles.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A1147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200</w:t>
            </w:r>
          </w:p>
        </w:tc>
      </w:tr>
      <w:tr w14:paraId="29761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16F487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Compañías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1253BC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`/api/catalogos/companias`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0706E3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GET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5FE90F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Lista compañías disponibles.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1583C5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200</w:t>
            </w:r>
          </w:p>
        </w:tc>
      </w:tr>
      <w:tr w14:paraId="7F601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666E9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Clientes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D8EFE2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`/api/catalogos/clientes?buscar={texto}`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F282BC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GET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395E19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Busca clientes activos.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551B33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200</w:t>
            </w:r>
          </w:p>
        </w:tc>
      </w:tr>
      <w:tr w14:paraId="59451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787702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Productos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60A1C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`/api/catalogos/productos?buscar={texto}`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1DB418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GET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07B4AB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Busca productos disponibles.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3F6A25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200</w:t>
            </w:r>
          </w:p>
        </w:tc>
      </w:tr>
      <w:tr w14:paraId="79244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728A2F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Cuentas bancarias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F65AF5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`/api/cuentas-bancarias`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AEA617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GET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457395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Lista o filtra cuentas bancarias.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DF03A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200</w:t>
            </w:r>
          </w:p>
        </w:tc>
      </w:tr>
      <w:tr w14:paraId="7B0BF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434CE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Cuentas bancarias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AF0180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`/api/cuentas-bancarias/{id}`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344BE5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GET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07E686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Obtiene una cuenta por id.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9CCBCF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200, 404</w:t>
            </w:r>
          </w:p>
        </w:tc>
      </w:tr>
      <w:tr w14:paraId="58695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5EB926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Cuentas bancarias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D4E0D6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`/api/cuentas-bancarias`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2ABBD3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POST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435A7A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Crea una cuenta bancaria.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CA26D8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201, 400, 409</w:t>
            </w:r>
          </w:p>
        </w:tc>
      </w:tr>
      <w:tr w14:paraId="2B99A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43E189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Cuentas bancarias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5DC71A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`/api/cuentas-bancarias/{id}`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E56DB9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PUT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31FDDC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Actualiza una cuenta bancaria.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EA82A7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200, 400, 404, 409</w:t>
            </w:r>
          </w:p>
        </w:tc>
      </w:tr>
      <w:tr w14:paraId="30901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BEA082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Cuentas bancarias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8C0C98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`/api/cuentas-bancarias/{id}`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2170FE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DELETE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7A7955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Elimina una cuenta bancaria.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3641E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204, 404</w:t>
            </w:r>
          </w:p>
        </w:tc>
      </w:tr>
      <w:tr w14:paraId="3679E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67A2A8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Órdenes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C1E6F1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`/api/ordenes`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AFA87B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POST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2DFA1D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Crea una orden de venta.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37016D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201, 400, 404, 409</w:t>
            </w:r>
          </w:p>
        </w:tc>
      </w:tr>
      <w:tr w14:paraId="2FC1D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615DFA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Órdenes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DDCD5A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`/api/ordenes/{numeroOrden}`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7D87CD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GET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3F24DD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Obtiene una orden por número.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C1DB49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200, 404</w:t>
            </w:r>
          </w:p>
        </w:tc>
      </w:tr>
    </w:tbl>
    <w:p w14:paraId="5D98043F"/>
    <w:p w14:paraId="149F3349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El archivo de pruebas HTTP se encuentra en:</w:t>
      </w:r>
    </w:p>
    <w:p w14:paraId="0AA3676C">
      <w:pPr>
        <w:spacing w:before="0" w:after="0" w:line="240" w:lineRule="auto"/>
      </w:pPr>
      <w:r>
        <w:rPr>
          <w:rFonts w:ascii="Courier New" w:hAnsi="Courier New"/>
          <w:sz w:val="18"/>
          <w:lang w:val="es-CR" w:eastAsia="es-CR" w:bidi="es-CR"/>
        </w:rPr>
        <w:t>Proyecto_backend/SalesPro.Api/SalesPro.Api.http</w:t>
      </w:r>
    </w:p>
    <w:p w14:paraId="0D5EBE6E"/>
    <w:p w14:paraId="0C65ABC6">
      <w:pPr>
        <w:pStyle w:val="2"/>
        <w:spacing w:before="240" w:after="0" w:line="480" w:lineRule="auto"/>
        <w:jc w:val="left"/>
      </w:pPr>
      <w:bookmarkStart w:id="8" w:name="_Toc2743"/>
      <w:r>
        <w:rPr>
          <w:rFonts w:ascii="Times New Roman" w:hAnsi="Times New Roman"/>
          <w:b/>
          <w:i w:val="0"/>
          <w:sz w:val="24"/>
          <w:lang w:val="es-CR" w:eastAsia="es-CR" w:bidi="es-CR"/>
        </w:rPr>
        <w:t>Modelo entidad-relación</w:t>
      </w:r>
      <w:bookmarkEnd w:id="8"/>
    </w:p>
    <w:p w14:paraId="00220ACC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El modelo entidad-relación se documenta en:</w:t>
      </w:r>
    </w:p>
    <w:p w14:paraId="751DF9DD">
      <w:pPr>
        <w:spacing w:before="0" w:after="0" w:line="240" w:lineRule="auto"/>
      </w:pPr>
      <w:r>
        <w:rPr>
          <w:rFonts w:ascii="Courier New" w:hAnsi="Courier New"/>
          <w:sz w:val="18"/>
          <w:lang w:val="es-CR" w:eastAsia="es-CR" w:bidi="es-CR"/>
        </w:rPr>
        <w:t>docs/diagramas/ER.md</w:t>
      </w:r>
    </w:p>
    <w:p w14:paraId="46C64FD9"/>
    <w:p w14:paraId="74C27D6E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Entidades principales:</w:t>
      </w:r>
    </w:p>
    <w:p w14:paraId="03042B4C">
      <w:pPr>
        <w:pStyle w:val="31"/>
        <w:spacing w:before="0" w:after="0" w:line="480" w:lineRule="auto"/>
      </w:pPr>
      <w:r>
        <w:rPr>
          <w:rFonts w:ascii="Courier New" w:hAnsi="Courier New"/>
          <w:sz w:val="20"/>
          <w:lang w:val="es-CR" w:eastAsia="es-CR" w:bidi="es-CR"/>
        </w:rPr>
        <w:t>Banco</w:t>
      </w:r>
    </w:p>
    <w:p w14:paraId="62C5CF7A">
      <w:pPr>
        <w:pStyle w:val="31"/>
        <w:spacing w:before="0" w:after="0" w:line="480" w:lineRule="auto"/>
      </w:pPr>
      <w:r>
        <w:rPr>
          <w:rFonts w:ascii="Courier New" w:hAnsi="Courier New"/>
          <w:sz w:val="20"/>
          <w:lang w:val="es-CR" w:eastAsia="es-CR" w:bidi="es-CR"/>
        </w:rPr>
        <w:t>Compania</w:t>
      </w:r>
    </w:p>
    <w:p w14:paraId="3CF88032">
      <w:pPr>
        <w:pStyle w:val="31"/>
        <w:spacing w:before="0" w:after="0" w:line="480" w:lineRule="auto"/>
      </w:pPr>
      <w:r>
        <w:rPr>
          <w:rFonts w:ascii="Courier New" w:hAnsi="Courier New"/>
          <w:sz w:val="20"/>
          <w:lang w:val="es-CR" w:eastAsia="es-CR" w:bidi="es-CR"/>
        </w:rPr>
        <w:t>Cliente</w:t>
      </w:r>
    </w:p>
    <w:p w14:paraId="54F429A4">
      <w:pPr>
        <w:pStyle w:val="31"/>
        <w:spacing w:before="0" w:after="0" w:line="480" w:lineRule="auto"/>
      </w:pPr>
      <w:r>
        <w:rPr>
          <w:rFonts w:ascii="Courier New" w:hAnsi="Courier New"/>
          <w:sz w:val="20"/>
          <w:lang w:val="es-CR" w:eastAsia="es-CR" w:bidi="es-CR"/>
        </w:rPr>
        <w:t>Empleado</w:t>
      </w:r>
    </w:p>
    <w:p w14:paraId="0D605EB7">
      <w:pPr>
        <w:pStyle w:val="31"/>
        <w:spacing w:before="0" w:after="0" w:line="480" w:lineRule="auto"/>
      </w:pPr>
      <w:r>
        <w:rPr>
          <w:rFonts w:ascii="Courier New" w:hAnsi="Courier New"/>
          <w:sz w:val="20"/>
          <w:lang w:val="es-CR" w:eastAsia="es-CR" w:bidi="es-CR"/>
        </w:rPr>
        <w:t>Producto</w:t>
      </w:r>
    </w:p>
    <w:p w14:paraId="604E8954">
      <w:pPr>
        <w:pStyle w:val="31"/>
        <w:spacing w:before="0" w:after="0" w:line="480" w:lineRule="auto"/>
      </w:pPr>
      <w:r>
        <w:rPr>
          <w:rFonts w:ascii="Courier New" w:hAnsi="Courier New"/>
          <w:sz w:val="20"/>
          <w:lang w:val="es-CR" w:eastAsia="es-CR" w:bidi="es-CR"/>
        </w:rPr>
        <w:t>Compania_Cuenta_Bancaria</w:t>
      </w:r>
    </w:p>
    <w:p w14:paraId="340B9BEB">
      <w:pPr>
        <w:pStyle w:val="31"/>
        <w:spacing w:before="0" w:after="0" w:line="480" w:lineRule="auto"/>
      </w:pPr>
      <w:r>
        <w:rPr>
          <w:rFonts w:ascii="Courier New" w:hAnsi="Courier New"/>
          <w:sz w:val="20"/>
          <w:lang w:val="es-CR" w:eastAsia="es-CR" w:bidi="es-CR"/>
        </w:rPr>
        <w:t>Pos_Orden</w:t>
      </w:r>
    </w:p>
    <w:p w14:paraId="4A357CD7">
      <w:pPr>
        <w:pStyle w:val="31"/>
        <w:spacing w:before="0" w:after="0" w:line="480" w:lineRule="auto"/>
      </w:pPr>
      <w:r>
        <w:rPr>
          <w:rFonts w:ascii="Courier New" w:hAnsi="Courier New"/>
          <w:sz w:val="20"/>
          <w:lang w:val="es-CR" w:eastAsia="es-CR" w:bidi="es-CR"/>
        </w:rPr>
        <w:t>Pos_Orden_Detalle</w:t>
      </w:r>
    </w:p>
    <w:p w14:paraId="09EBA0B3">
      <w:pPr>
        <w:pStyle w:val="31"/>
        <w:spacing w:before="0" w:after="0" w:line="480" w:lineRule="auto"/>
      </w:pPr>
      <w:r>
        <w:rPr>
          <w:rFonts w:ascii="Courier New" w:hAnsi="Courier New"/>
          <w:sz w:val="20"/>
          <w:lang w:val="es-CR" w:eastAsia="es-CR" w:bidi="es-CR"/>
        </w:rPr>
        <w:t>ParametroSistema</w:t>
      </w:r>
    </w:p>
    <w:p w14:paraId="048621B9">
      <w:pPr>
        <w:pStyle w:val="2"/>
        <w:spacing w:before="240" w:after="0" w:line="480" w:lineRule="auto"/>
        <w:jc w:val="left"/>
      </w:pPr>
      <w:bookmarkStart w:id="9" w:name="_Toc7969"/>
      <w:r>
        <w:rPr>
          <w:rFonts w:ascii="Times New Roman" w:hAnsi="Times New Roman"/>
          <w:b/>
          <w:i w:val="0"/>
          <w:sz w:val="24"/>
          <w:lang w:val="es-CR" w:eastAsia="es-CR" w:bidi="es-CR"/>
        </w:rPr>
        <w:t>Modelo de dominio</w:t>
      </w:r>
      <w:bookmarkEnd w:id="9"/>
    </w:p>
    <w:p w14:paraId="573AEA07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El modelo de dominio se documenta en:</w:t>
      </w:r>
    </w:p>
    <w:p w14:paraId="6BD65791">
      <w:pPr>
        <w:spacing w:before="0" w:after="0" w:line="240" w:lineRule="auto"/>
      </w:pPr>
      <w:r>
        <w:rPr>
          <w:rFonts w:ascii="Courier New" w:hAnsi="Courier New"/>
          <w:sz w:val="18"/>
          <w:lang w:val="es-CR" w:eastAsia="es-CR" w:bidi="es-CR"/>
        </w:rPr>
        <w:t>docs/diagramas/DOMINIO.md</w:t>
      </w:r>
    </w:p>
    <w:p w14:paraId="428FF780"/>
    <w:p w14:paraId="29A82FB4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El diseño separa contratos de transporte, entidades del dominio, reglas de negocio y acceso a datos.</w:t>
      </w:r>
    </w:p>
    <w:p w14:paraId="3C6526DD">
      <w:pPr>
        <w:pStyle w:val="2"/>
        <w:spacing w:before="240" w:after="0" w:line="480" w:lineRule="auto"/>
        <w:jc w:val="left"/>
      </w:pPr>
      <w:bookmarkStart w:id="10" w:name="_Toc11027"/>
      <w:r>
        <w:rPr>
          <w:rFonts w:ascii="Times New Roman" w:hAnsi="Times New Roman"/>
          <w:b/>
          <w:i w:val="0"/>
          <w:sz w:val="24"/>
          <w:lang w:val="es-CR" w:eastAsia="es-CR" w:bidi="es-CR"/>
        </w:rPr>
        <w:t>Funcionalidades implementadas</w:t>
      </w:r>
      <w:bookmarkEnd w:id="10"/>
    </w:p>
    <w:p w14:paraId="4808EBC5">
      <w:pPr>
        <w:pStyle w:val="3"/>
        <w:spacing w:before="160" w:after="0" w:line="480" w:lineRule="auto"/>
        <w:jc w:val="left"/>
      </w:pPr>
      <w:bookmarkStart w:id="11" w:name="_Toc30938"/>
      <w:r>
        <w:rPr>
          <w:rFonts w:ascii="Times New Roman" w:hAnsi="Times New Roman"/>
          <w:b/>
          <w:i w:val="0"/>
          <w:sz w:val="24"/>
          <w:lang w:val="es-CR" w:eastAsia="es-CR" w:bidi="es-CR"/>
        </w:rPr>
        <w:t>CRUD de cuentas bancarias</w:t>
      </w:r>
      <w:bookmarkEnd w:id="11"/>
    </w:p>
    <w:p w14:paraId="5154FF10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La funcionalidad permite:</w:t>
      </w:r>
    </w:p>
    <w:p w14:paraId="33D34CB2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listar cuentas;</w:t>
      </w:r>
    </w:p>
    <w:p w14:paraId="7FC5B98D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buscar cuentas;</w:t>
      </w:r>
    </w:p>
    <w:p w14:paraId="67DE882E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crear cuenta bancaria;</w:t>
      </w:r>
    </w:p>
    <w:p w14:paraId="7C219E47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editar cuenta bancaria;</w:t>
      </w:r>
    </w:p>
    <w:p w14:paraId="59B22007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eliminar cuenta bancaria;</w:t>
      </w:r>
    </w:p>
    <w:p w14:paraId="72002B53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validar banco y compañía existentes;</w:t>
      </w:r>
    </w:p>
    <w:p w14:paraId="12E03760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validar tipos de cuenta y divisa;</w:t>
      </w:r>
    </w:p>
    <w:p w14:paraId="7E88B0BF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evitar duplicados por banco y número de cuenta.</w:t>
      </w:r>
    </w:p>
    <w:p w14:paraId="058A0EC9">
      <w:pPr>
        <w:pStyle w:val="3"/>
        <w:spacing w:before="160" w:after="0" w:line="480" w:lineRule="auto"/>
        <w:jc w:val="left"/>
      </w:pPr>
      <w:bookmarkStart w:id="12" w:name="_Toc4900"/>
      <w:r>
        <w:rPr>
          <w:rFonts w:ascii="Times New Roman" w:hAnsi="Times New Roman"/>
          <w:b/>
          <w:i w:val="0"/>
          <w:sz w:val="24"/>
          <w:lang w:val="es-CR" w:eastAsia="es-CR" w:bidi="es-CR"/>
        </w:rPr>
        <w:t>Registro de orden</w:t>
      </w:r>
      <w:bookmarkEnd w:id="12"/>
    </w:p>
    <w:p w14:paraId="21527D2D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La funcionalidad permite:</w:t>
      </w:r>
    </w:p>
    <w:p w14:paraId="006D920A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seleccionar cliente;</w:t>
      </w:r>
    </w:p>
    <w:p w14:paraId="021641AB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buscar producto;</w:t>
      </w:r>
    </w:p>
    <w:p w14:paraId="37177C0D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agregar productos con cantidad;</w:t>
      </w:r>
    </w:p>
    <w:p w14:paraId="09E5EBEA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incrementar y decrementar cantidades;</w:t>
      </w:r>
    </w:p>
    <w:p w14:paraId="4E44F23E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remover productos;</w:t>
      </w:r>
    </w:p>
    <w:p w14:paraId="4B89AE4C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visualizar subtotal, IVA estimado y total estimado;</w:t>
      </w:r>
    </w:p>
    <w:p w14:paraId="10B1B6BB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procesar la orden en backend;</w:t>
      </w:r>
    </w:p>
    <w:p w14:paraId="00F2EE2A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actualizar inventario al procesar.</w:t>
      </w:r>
    </w:p>
    <w:p w14:paraId="7CD4A599">
      <w:pPr>
        <w:pStyle w:val="2"/>
        <w:spacing w:before="240" w:after="0" w:line="480" w:lineRule="auto"/>
        <w:jc w:val="left"/>
      </w:pPr>
      <w:bookmarkStart w:id="13" w:name="_Toc28699"/>
      <w:r>
        <w:rPr>
          <w:rFonts w:ascii="Times New Roman" w:hAnsi="Times New Roman"/>
          <w:b/>
          <w:i w:val="0"/>
          <w:sz w:val="24"/>
          <w:lang w:val="es-CR" w:eastAsia="es-CR" w:bidi="es-CR"/>
        </w:rPr>
        <w:t>Manejo transaccional</w:t>
      </w:r>
      <w:bookmarkEnd w:id="13"/>
    </w:p>
    <w:p w14:paraId="1576B297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 xml:space="preserve">La creación de órdenes se implementa en </w:t>
      </w:r>
      <w:r>
        <w:rPr>
          <w:rFonts w:ascii="Courier New" w:hAnsi="Courier New"/>
          <w:sz w:val="20"/>
          <w:lang w:val="es-CR" w:eastAsia="es-CR" w:bidi="es-CR"/>
        </w:rPr>
        <w:t>SalesPro.Data.Repositories.OrdenRepository</w:t>
      </w:r>
      <w:r>
        <w:rPr>
          <w:rFonts w:ascii="Times New Roman" w:hAnsi="Times New Roman"/>
          <w:sz w:val="24"/>
          <w:lang w:val="es-CR" w:eastAsia="es-CR" w:bidi="es-CR"/>
        </w:rPr>
        <w:t xml:space="preserve">. El flujo abre una conexión SQL, inicia una transacción con </w:t>
      </w:r>
      <w:r>
        <w:rPr>
          <w:rFonts w:ascii="Courier New" w:hAnsi="Courier New"/>
          <w:sz w:val="20"/>
          <w:lang w:val="es-CR" w:eastAsia="es-CR" w:bidi="es-CR"/>
        </w:rPr>
        <w:t>BeginTransaction</w:t>
      </w:r>
      <w:r>
        <w:rPr>
          <w:rFonts w:ascii="Times New Roman" w:hAnsi="Times New Roman"/>
          <w:sz w:val="24"/>
          <w:lang w:val="es-CR" w:eastAsia="es-CR" w:bidi="es-CR"/>
        </w:rPr>
        <w:t>, valida cliente, empleado y productos, calcula montos, inserta encabezado, descuenta inventario e inserta detalles.</w:t>
      </w:r>
    </w:p>
    <w:p w14:paraId="5FD18B5B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 xml:space="preserve">Si ocurre una excepción antes del </w:t>
      </w:r>
      <w:r>
        <w:rPr>
          <w:rFonts w:ascii="Courier New" w:hAnsi="Courier New"/>
          <w:sz w:val="20"/>
          <w:lang w:val="es-CR" w:eastAsia="es-CR" w:bidi="es-CR"/>
        </w:rPr>
        <w:t>Commit</w:t>
      </w:r>
      <w:r>
        <w:rPr>
          <w:rFonts w:ascii="Times New Roman" w:hAnsi="Times New Roman"/>
          <w:sz w:val="24"/>
          <w:lang w:val="es-CR" w:eastAsia="es-CR" w:bidi="es-CR"/>
        </w:rPr>
        <w:t xml:space="preserve">, se ejecuta </w:t>
      </w:r>
      <w:r>
        <w:rPr>
          <w:rFonts w:ascii="Courier New" w:hAnsi="Courier New"/>
          <w:sz w:val="20"/>
          <w:lang w:val="es-CR" w:eastAsia="es-CR" w:bidi="es-CR"/>
        </w:rPr>
        <w:t>Rollback</w:t>
      </w:r>
      <w:r>
        <w:rPr>
          <w:rFonts w:ascii="Times New Roman" w:hAnsi="Times New Roman"/>
          <w:sz w:val="24"/>
          <w:lang w:val="es-CR" w:eastAsia="es-CR" w:bidi="es-CR"/>
        </w:rPr>
        <w:t xml:space="preserve">. Además, la lectura de productos para venta usa bloqueo con </w:t>
      </w:r>
      <w:r>
        <w:rPr>
          <w:rFonts w:ascii="Courier New" w:hAnsi="Courier New"/>
          <w:sz w:val="20"/>
          <w:lang w:val="es-CR" w:eastAsia="es-CR" w:bidi="es-CR"/>
        </w:rPr>
        <w:t>UPDLOCK</w:t>
      </w:r>
      <w:r>
        <w:rPr>
          <w:rFonts w:ascii="Times New Roman" w:hAnsi="Times New Roman"/>
          <w:sz w:val="24"/>
          <w:lang w:val="es-CR" w:eastAsia="es-CR" w:bidi="es-CR"/>
        </w:rPr>
        <w:t xml:space="preserve"> y </w:t>
      </w:r>
      <w:r>
        <w:rPr>
          <w:rFonts w:ascii="Courier New" w:hAnsi="Courier New"/>
          <w:sz w:val="20"/>
          <w:lang w:val="es-CR" w:eastAsia="es-CR" w:bidi="es-CR"/>
        </w:rPr>
        <w:t>ROWLOCK</w:t>
      </w:r>
      <w:r>
        <w:rPr>
          <w:rFonts w:ascii="Times New Roman" w:hAnsi="Times New Roman"/>
          <w:sz w:val="24"/>
          <w:lang w:val="es-CR" w:eastAsia="es-CR" w:bidi="es-CR"/>
        </w:rPr>
        <w:t>, lo que ayuda a evitar inconsistencias durante el descuento de inventario.</w:t>
      </w:r>
    </w:p>
    <w:p w14:paraId="45D3C15B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La evidencia se anexó en:</w:t>
      </w:r>
    </w:p>
    <w:p w14:paraId="27EE5375">
      <w:pPr>
        <w:spacing w:before="0" w:after="0" w:line="240" w:lineRule="auto"/>
      </w:pPr>
      <w:r>
        <w:rPr>
          <w:rFonts w:ascii="Courier New" w:hAnsi="Courier New"/>
          <w:sz w:val="18"/>
          <w:lang w:val="es-CR" w:eastAsia="es-CR" w:bidi="es-CR"/>
        </w:rPr>
        <w:t>docs/EVIDENCIA_TRANSACCIONES.md</w:t>
      </w:r>
    </w:p>
    <w:p w14:paraId="5BA2EFE6"/>
    <w:p w14:paraId="1BBAAFCD">
      <w:pPr>
        <w:pStyle w:val="2"/>
        <w:spacing w:before="240" w:after="0" w:line="480" w:lineRule="auto"/>
        <w:jc w:val="left"/>
      </w:pPr>
      <w:bookmarkStart w:id="14" w:name="_Toc29089"/>
      <w:r>
        <w:rPr>
          <w:rFonts w:ascii="Times New Roman" w:hAnsi="Times New Roman"/>
          <w:b/>
          <w:i w:val="0"/>
          <w:sz w:val="24"/>
          <w:lang w:val="es-CR" w:eastAsia="es-CR" w:bidi="es-CR"/>
        </w:rPr>
        <w:t>Pruebas</w:t>
      </w:r>
      <w:bookmarkEnd w:id="14"/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6"/>
        <w:gridCol w:w="4383"/>
        <w:gridCol w:w="2611"/>
      </w:tblGrid>
      <w:tr w14:paraId="2806D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2D2263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Área</w:t>
            </w:r>
          </w:p>
        </w:tc>
        <w:tc>
          <w:tcPr>
            <w:tcW w:w="312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0CFEE1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Archivo de evidencia</w:t>
            </w:r>
          </w:p>
        </w:tc>
        <w:tc>
          <w:tcPr>
            <w:tcW w:w="312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BA946C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Estado</w:t>
            </w:r>
          </w:p>
        </w:tc>
      </w:tr>
      <w:tr w14:paraId="1A74B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C4BA82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API REST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6ED6A3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`Proyecto_backend/SalesPro.Api/SalesPro.Api.http`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88BD16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Preparado y ejecutado parcialmente mediante pruebas API</w:t>
            </w:r>
          </w:p>
        </w:tc>
      </w:tr>
      <w:tr w14:paraId="67C92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520145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Transacciones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0E65F7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`docs/EVIDENCIA_TRANSACCIONES.md`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8C12C2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Evidencia real anexada</w:t>
            </w:r>
          </w:p>
        </w:tc>
      </w:tr>
      <w:tr w14:paraId="7359A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28B39F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CRUD cuentas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30F8B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`docs/EVIDENCIA_CRUD_CUENTAS.md`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8D6EDA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Evidencia API anexada; capturas WPF pendientes</w:t>
            </w:r>
          </w:p>
        </w:tc>
      </w:tr>
      <w:tr w14:paraId="51EAB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38BAC2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Orden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B20547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`docs/EVIDENCIA_ORDEN_WPF.md`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7A446D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Evidencia API/transacción anexada; capturas WPF pendientes</w:t>
            </w:r>
          </w:p>
        </w:tc>
      </w:tr>
    </w:tbl>
    <w:p w14:paraId="6F90321B"/>
    <w:p w14:paraId="4102C619">
      <w:pPr>
        <w:pStyle w:val="2"/>
        <w:spacing w:before="240" w:after="0" w:line="480" w:lineRule="auto"/>
        <w:jc w:val="left"/>
      </w:pPr>
      <w:bookmarkStart w:id="15" w:name="_Toc4088"/>
      <w:r>
        <w:rPr>
          <w:rFonts w:ascii="Times New Roman" w:hAnsi="Times New Roman"/>
          <w:b/>
          <w:i w:val="0"/>
          <w:sz w:val="24"/>
          <w:lang w:val="es-CR" w:eastAsia="es-CR" w:bidi="es-CR"/>
        </w:rPr>
        <w:t>Accesibilidad</w:t>
      </w:r>
      <w:bookmarkEnd w:id="15"/>
    </w:p>
    <w:p w14:paraId="03DA04A0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Las vistas WPF incluyen medidas básicas de accesibilidad:</w:t>
      </w:r>
    </w:p>
    <w:p w14:paraId="5C4B0D95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 xml:space="preserve">nombres accesibles mediante </w:t>
      </w:r>
      <w:r>
        <w:rPr>
          <w:rFonts w:ascii="Courier New" w:hAnsi="Courier New"/>
          <w:sz w:val="20"/>
          <w:lang w:val="es-CR" w:eastAsia="es-CR" w:bidi="es-CR"/>
        </w:rPr>
        <w:t>AutomationProperties.Name</w:t>
      </w:r>
      <w:r>
        <w:rPr>
          <w:rFonts w:ascii="Times New Roman" w:hAnsi="Times New Roman"/>
          <w:sz w:val="24"/>
          <w:lang w:val="es-CR" w:eastAsia="es-CR" w:bidi="es-CR"/>
        </w:rPr>
        <w:t>;</w:t>
      </w:r>
    </w:p>
    <w:p w14:paraId="4776D31D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 xml:space="preserve">textos de ayuda mediante </w:t>
      </w:r>
      <w:r>
        <w:rPr>
          <w:rFonts w:ascii="Courier New" w:hAnsi="Courier New"/>
          <w:sz w:val="20"/>
          <w:lang w:val="es-CR" w:eastAsia="es-CR" w:bidi="es-CR"/>
        </w:rPr>
        <w:t>AutomationProperties.HelpText</w:t>
      </w:r>
      <w:r>
        <w:rPr>
          <w:rFonts w:ascii="Times New Roman" w:hAnsi="Times New Roman"/>
          <w:sz w:val="24"/>
          <w:lang w:val="es-CR" w:eastAsia="es-CR" w:bidi="es-CR"/>
        </w:rPr>
        <w:t>;</w:t>
      </w:r>
    </w:p>
    <w:p w14:paraId="25C87633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navegación por tabulación;</w:t>
      </w:r>
    </w:p>
    <w:p w14:paraId="630C59CF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mensajes de estado con notificación para tecnologías de apoyo;</w:t>
      </w:r>
    </w:p>
    <w:p w14:paraId="4680A162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>controles identificables para acciones principales.</w:t>
      </w:r>
    </w:p>
    <w:p w14:paraId="787E2E2B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Estas medidas apoyan criterios de acceso y uso para personas con distintas necesidades, en línea con la preocupación indicada por el profesor sobre accesibilidad.</w:t>
      </w:r>
    </w:p>
    <w:p w14:paraId="6DD67923">
      <w:pPr>
        <w:pStyle w:val="2"/>
        <w:spacing w:before="240" w:after="0" w:line="480" w:lineRule="auto"/>
        <w:jc w:val="left"/>
      </w:pPr>
      <w:bookmarkStart w:id="16" w:name="_Toc18349"/>
      <w:r>
        <w:rPr>
          <w:rFonts w:ascii="Times New Roman" w:hAnsi="Times New Roman"/>
          <w:b/>
          <w:i w:val="0"/>
          <w:sz w:val="24"/>
          <w:lang w:val="es-CR" w:eastAsia="es-CR" w:bidi="es-CR"/>
        </w:rPr>
        <w:t>Trazabilidad Git y aportes verificables</w:t>
      </w:r>
      <w:bookmarkEnd w:id="16"/>
    </w:p>
    <w:p w14:paraId="2F2B7E4A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La revisión del historial Git muestra aportes técnicos verificables principalmente de Sebastián Cordero y Josué Delgado Corrales. En este informe no se atribuyen tareas no comprobadas a otros integrantes; sus nombres se mantienen como parte del equipo, pero la bitácora técnica se basa en commits, ramas y PRs disponibles en el repositorio.</w:t>
      </w:r>
    </w:p>
    <w:tbl>
      <w:tblPr>
        <w:tblStyle w:val="3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2EDFC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DE90B9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Persona</w:t>
            </w:r>
          </w:p>
        </w:tc>
        <w:tc>
          <w:tcPr>
            <w:tcW w:w="312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6E5CC8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Evidencia Git</w:t>
            </w:r>
          </w:p>
        </w:tc>
        <w:tc>
          <w:tcPr>
            <w:tcW w:w="3120" w:type="dxa"/>
            <w:shd w:val="clear" w:color="auto" w:fill="EDED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856E4"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sz w:val="20"/>
                <w:lang w:val="es-CR" w:eastAsia="es-CR" w:bidi="es-CR"/>
              </w:rPr>
              <w:t>Aporte verificable</w:t>
            </w:r>
          </w:p>
        </w:tc>
      </w:tr>
      <w:tr w14:paraId="646B7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93E19D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Sebastián Cordero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E695AD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`feature/sebas-db-transacciones`, PRs de integración, commits de estructura, evidencia y entrega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1E333F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Base de datos, configuración SQL Server, transacciones, estructura de entrega, pruebas finales, documentación y coordinación del repositorio.</w:t>
            </w:r>
          </w:p>
        </w:tc>
      </w:tr>
      <w:tr w14:paraId="55ADA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325DF0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Josué Delgado Corrales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D05F90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`feature/josue-api-business`, PR #6, commits `9b56631` y `6c55371`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4D437F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Ajustes y documentación técnica de API/Business, respuestas HTTP de controladores y apoyo en endpoints relacionados con cuentas, catálogos y órdenes.</w:t>
            </w:r>
          </w:p>
        </w:tc>
      </w:tr>
      <w:tr w14:paraId="65441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DDA757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Caleb Hernández Vega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427F06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Sin evidencia técnica independiente registrada en el cierre revisado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3E198B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Rol asignado a documentación/pruebas, pendiente de evidencia específica en bitácora si corresponde.</w:t>
            </w:r>
          </w:p>
        </w:tc>
      </w:tr>
      <w:tr w14:paraId="5C50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ADA5BF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Alejandro Porras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14991E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Sin evidencia técnica independiente registrada en el cierre revisado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5FDD6">
            <w:pPr>
              <w:spacing w:before="0" w:after="0" w:line="276" w:lineRule="auto"/>
            </w:pPr>
            <w:r>
              <w:rPr>
                <w:rFonts w:ascii="Times New Roman" w:hAnsi="Times New Roman"/>
                <w:b w:val="0"/>
                <w:sz w:val="20"/>
                <w:lang w:val="es-CR" w:eastAsia="es-CR" w:bidi="es-CR"/>
              </w:rPr>
              <w:t>Rol asignado a WPF, pendiente de evidencia específica en bitácora si corresponde.</w:t>
            </w:r>
          </w:p>
        </w:tc>
      </w:tr>
    </w:tbl>
    <w:p w14:paraId="54CCEEC2"/>
    <w:p w14:paraId="6B665065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Esta decisión evita inflar la documentación con aportes no verificados y facilita una defensa honesta del trabajo realizado.</w:t>
      </w:r>
    </w:p>
    <w:p w14:paraId="548ED1CB">
      <w:pPr>
        <w:pStyle w:val="2"/>
        <w:spacing w:before="240" w:after="0" w:line="480" w:lineRule="auto"/>
        <w:jc w:val="left"/>
      </w:pPr>
      <w:bookmarkStart w:id="17" w:name="_Toc13846"/>
      <w:r>
        <w:rPr>
          <w:rFonts w:ascii="Times New Roman" w:hAnsi="Times New Roman"/>
          <w:b/>
          <w:i w:val="0"/>
          <w:sz w:val="24"/>
          <w:lang w:val="es-CR" w:eastAsia="es-CR" w:bidi="es-CR"/>
        </w:rPr>
        <w:t>Conclusiones</w:t>
      </w:r>
      <w:bookmarkEnd w:id="17"/>
    </w:p>
    <w:p w14:paraId="6F4C7D8E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El proyecto cuenta con una estructura funcional alineada con el enunciado: backend RESTful, WPF, SQL Server, CRUD de cuentas bancarias y orden maestro-detalle. La parte transaccional se encuentra implementada en la capa de datos, que es donde corresponde según el diseño por capas.</w:t>
      </w:r>
    </w:p>
    <w:p w14:paraId="28CE0E3F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Para cerrar la entrega, falta anexar las capturas manuales de WPF y exportar este informe a PDF. La evidencia de API, inventario y rollback ya fue registrada contra SQL Server del curso.</w:t>
      </w:r>
    </w:p>
    <w:p w14:paraId="36BCCA10">
      <w:pPr>
        <w:pStyle w:val="2"/>
        <w:spacing w:before="240" w:after="0" w:line="480" w:lineRule="auto"/>
        <w:jc w:val="left"/>
      </w:pPr>
      <w:bookmarkStart w:id="18" w:name="_Toc305"/>
      <w:r>
        <w:rPr>
          <w:rFonts w:ascii="Times New Roman" w:hAnsi="Times New Roman"/>
          <w:b/>
          <w:i w:val="0"/>
          <w:sz w:val="24"/>
          <w:lang w:val="es-CR" w:eastAsia="es-CR" w:bidi="es-CR"/>
        </w:rPr>
        <w:t>Bitácora</w:t>
      </w:r>
      <w:bookmarkEnd w:id="18"/>
    </w:p>
    <w:p w14:paraId="5971142A">
      <w:pPr>
        <w:spacing w:before="0" w:after="0" w:line="480" w:lineRule="auto"/>
        <w:ind w:firstLine="720"/>
      </w:pPr>
      <w:r>
        <w:rPr>
          <w:rFonts w:ascii="Times New Roman" w:hAnsi="Times New Roman"/>
          <w:sz w:val="24"/>
          <w:lang w:val="es-CR" w:eastAsia="es-CR" w:bidi="es-CR"/>
        </w:rPr>
        <w:t>La bitácora se encuentra en:</w:t>
      </w:r>
    </w:p>
    <w:p w14:paraId="3DADD758">
      <w:pPr>
        <w:spacing w:before="0" w:after="0" w:line="240" w:lineRule="auto"/>
      </w:pPr>
      <w:r>
        <w:rPr>
          <w:rFonts w:ascii="Courier New" w:hAnsi="Courier New"/>
          <w:sz w:val="18"/>
          <w:lang w:val="es-CR" w:eastAsia="es-CR" w:bidi="es-CR"/>
        </w:rPr>
        <w:t>docs/BITACORA_TAREAS.md</w:t>
      </w:r>
    </w:p>
    <w:p w14:paraId="3AC4EA7D"/>
    <w:p w14:paraId="203DA799">
      <w:pPr>
        <w:pStyle w:val="2"/>
        <w:spacing w:before="240" w:after="0" w:line="480" w:lineRule="auto"/>
        <w:jc w:val="left"/>
      </w:pPr>
      <w:bookmarkStart w:id="19" w:name="_Toc6160"/>
      <w:r>
        <w:rPr>
          <w:rFonts w:ascii="Times New Roman" w:hAnsi="Times New Roman"/>
          <w:b/>
          <w:i w:val="0"/>
          <w:sz w:val="24"/>
          <w:lang w:val="es-CR" w:eastAsia="es-CR" w:bidi="es-CR"/>
        </w:rPr>
        <w:t>Anexos</w:t>
      </w:r>
      <w:bookmarkEnd w:id="19"/>
    </w:p>
    <w:p w14:paraId="386CBA48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 xml:space="preserve">Script SQL: </w:t>
      </w:r>
      <w:r>
        <w:rPr>
          <w:rFonts w:ascii="Courier New" w:hAnsi="Courier New"/>
          <w:sz w:val="20"/>
          <w:lang w:val="es-CR" w:eastAsia="es-CR" w:bidi="es-CR"/>
        </w:rPr>
        <w:t>Proyecto_backend/database/00_create_salespro.sql</w:t>
      </w:r>
    </w:p>
    <w:p w14:paraId="10AD6277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 xml:space="preserve">Pruebas HTTP: </w:t>
      </w:r>
      <w:r>
        <w:rPr>
          <w:rFonts w:ascii="Courier New" w:hAnsi="Courier New"/>
          <w:sz w:val="20"/>
          <w:lang w:val="es-CR" w:eastAsia="es-CR" w:bidi="es-CR"/>
        </w:rPr>
        <w:t>Proyecto_backend/SalesPro.Api/SalesPro.Api.http</w:t>
      </w:r>
    </w:p>
    <w:p w14:paraId="3ED88494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 xml:space="preserve">Diagrama ER: </w:t>
      </w:r>
      <w:r>
        <w:rPr>
          <w:rFonts w:ascii="Courier New" w:hAnsi="Courier New"/>
          <w:sz w:val="20"/>
          <w:lang w:val="es-CR" w:eastAsia="es-CR" w:bidi="es-CR"/>
        </w:rPr>
        <w:t>docs/diagramas/ER.md</w:t>
      </w:r>
    </w:p>
    <w:p w14:paraId="65E834EA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 xml:space="preserve">Modelo dominio: </w:t>
      </w:r>
      <w:r>
        <w:rPr>
          <w:rFonts w:ascii="Courier New" w:hAnsi="Courier New"/>
          <w:sz w:val="20"/>
          <w:lang w:val="es-CR" w:eastAsia="es-CR" w:bidi="es-CR"/>
        </w:rPr>
        <w:t>docs/diagramas/DOMINIO.md</w:t>
      </w:r>
    </w:p>
    <w:p w14:paraId="4EF9C559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 xml:space="preserve">Evidencia transacciones: </w:t>
      </w:r>
      <w:r>
        <w:rPr>
          <w:rFonts w:ascii="Courier New" w:hAnsi="Courier New"/>
          <w:sz w:val="20"/>
          <w:lang w:val="es-CR" w:eastAsia="es-CR" w:bidi="es-CR"/>
        </w:rPr>
        <w:t>docs/EVIDENCIA_TRANSACCIONES.md</w:t>
      </w:r>
    </w:p>
    <w:p w14:paraId="0E97EB6C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 xml:space="preserve">Evidencia CRUD: </w:t>
      </w:r>
      <w:r>
        <w:rPr>
          <w:rFonts w:ascii="Courier New" w:hAnsi="Courier New"/>
          <w:sz w:val="20"/>
          <w:lang w:val="es-CR" w:eastAsia="es-CR" w:bidi="es-CR"/>
        </w:rPr>
        <w:t>docs/EVIDENCIA_CRUD_CUENTAS.md</w:t>
      </w:r>
    </w:p>
    <w:p w14:paraId="3E0105F2">
      <w:pPr>
        <w:pStyle w:val="31"/>
        <w:spacing w:before="0" w:after="0" w:line="480" w:lineRule="auto"/>
      </w:pPr>
      <w:r>
        <w:rPr>
          <w:rFonts w:ascii="Times New Roman" w:hAnsi="Times New Roman"/>
          <w:sz w:val="24"/>
          <w:lang w:val="es-CR" w:eastAsia="es-CR" w:bidi="es-CR"/>
        </w:rPr>
        <w:t xml:space="preserve">Evidencia orden WPF: </w:t>
      </w:r>
      <w:r>
        <w:rPr>
          <w:rFonts w:ascii="Courier New" w:hAnsi="Courier New"/>
          <w:sz w:val="20"/>
          <w:lang w:val="es-CR" w:eastAsia="es-CR" w:bidi="es-CR"/>
        </w:rPr>
        <w:t>docs/EVIDENCIA_ORDEN_WPF.md</w:t>
      </w:r>
    </w:p>
    <w:p w14:paraId="626DB77C">
      <w:pPr>
        <w:pStyle w:val="2"/>
        <w:spacing w:before="240" w:after="0" w:line="480" w:lineRule="auto"/>
        <w:jc w:val="left"/>
      </w:pPr>
      <w:bookmarkStart w:id="20" w:name="_Toc31056"/>
      <w:r>
        <w:rPr>
          <w:rFonts w:ascii="Times New Roman" w:hAnsi="Times New Roman"/>
          <w:b/>
          <w:i w:val="0"/>
          <w:sz w:val="24"/>
          <w:lang w:val="es-CR" w:eastAsia="es-CR" w:bidi="es-CR"/>
        </w:rPr>
        <w:t>Referencias</w:t>
      </w:r>
      <w:bookmarkEnd w:id="20"/>
    </w:p>
    <w:p w14:paraId="275051A7">
      <w:pPr>
        <w:spacing w:before="0" w:after="0" w:line="480" w:lineRule="auto"/>
        <w:ind w:left="720" w:hanging="720"/>
      </w:pPr>
      <w:r>
        <w:rPr>
          <w:rFonts w:ascii="Times New Roman" w:hAnsi="Times New Roman"/>
          <w:sz w:val="24"/>
          <w:lang w:val="es-CR" w:eastAsia="es-CR" w:bidi="es-CR"/>
        </w:rPr>
        <w:t xml:space="preserve">Microsoft. (s. f.). </w:t>
      </w:r>
      <w:r>
        <w:rPr>
          <w:rFonts w:ascii="Times New Roman" w:hAnsi="Times New Roman"/>
          <w:i/>
          <w:sz w:val="24"/>
          <w:lang w:val="es-CR" w:eastAsia="es-CR" w:bidi="es-CR"/>
        </w:rPr>
        <w:t>ASP.NET Core documentation</w:t>
      </w:r>
      <w:r>
        <w:rPr>
          <w:rFonts w:ascii="Times New Roman" w:hAnsi="Times New Roman"/>
          <w:sz w:val="24"/>
          <w:lang w:val="es-CR" w:eastAsia="es-CR" w:bidi="es-CR"/>
        </w:rPr>
        <w:t>. Microsoft Learn.</w:t>
      </w:r>
    </w:p>
    <w:p w14:paraId="0355A200">
      <w:pPr>
        <w:spacing w:before="0" w:after="0" w:line="480" w:lineRule="auto"/>
        <w:ind w:left="720" w:hanging="720"/>
      </w:pPr>
      <w:r>
        <w:rPr>
          <w:rFonts w:ascii="Times New Roman" w:hAnsi="Times New Roman"/>
          <w:sz w:val="24"/>
          <w:lang w:val="es-CR" w:eastAsia="es-CR" w:bidi="es-CR"/>
        </w:rPr>
        <w:t xml:space="preserve">Microsoft. (s. f.). </w:t>
      </w:r>
      <w:r>
        <w:rPr>
          <w:rFonts w:ascii="Times New Roman" w:hAnsi="Times New Roman"/>
          <w:i/>
          <w:sz w:val="24"/>
          <w:lang w:val="es-CR" w:eastAsia="es-CR" w:bidi="es-CR"/>
        </w:rPr>
        <w:t>Windows Presentation Foundation documentation</w:t>
      </w:r>
      <w:r>
        <w:rPr>
          <w:rFonts w:ascii="Times New Roman" w:hAnsi="Times New Roman"/>
          <w:sz w:val="24"/>
          <w:lang w:val="es-CR" w:eastAsia="es-CR" w:bidi="es-CR"/>
        </w:rPr>
        <w:t>. Microsoft Learn.</w:t>
      </w:r>
    </w:p>
    <w:p w14:paraId="71EAD2E3">
      <w:pPr>
        <w:spacing w:before="0" w:after="0" w:line="480" w:lineRule="auto"/>
        <w:ind w:left="720" w:hanging="720"/>
      </w:pPr>
      <w:r>
        <w:rPr>
          <w:rFonts w:ascii="Times New Roman" w:hAnsi="Times New Roman"/>
          <w:sz w:val="24"/>
          <w:lang w:val="es-CR" w:eastAsia="es-CR" w:bidi="es-CR"/>
        </w:rPr>
        <w:t xml:space="preserve">Microsoft. (s. f.). </w:t>
      </w:r>
      <w:r>
        <w:rPr>
          <w:rFonts w:ascii="Times New Roman" w:hAnsi="Times New Roman"/>
          <w:i/>
          <w:sz w:val="24"/>
          <w:lang w:val="es-CR" w:eastAsia="es-CR" w:bidi="es-CR"/>
        </w:rPr>
        <w:t>SQL Server documentation</w:t>
      </w:r>
      <w:r>
        <w:rPr>
          <w:rFonts w:ascii="Times New Roman" w:hAnsi="Times New Roman"/>
          <w:sz w:val="24"/>
          <w:lang w:val="es-CR" w:eastAsia="es-CR" w:bidi="es-CR"/>
        </w:rPr>
        <w:t>. Microsoft Learn.</w:t>
      </w:r>
    </w:p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65E5C5">
    <w:pPr>
      <w:pStyle w:val="3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C45F50">
    <w:pPr>
      <w:pStyle w:val="25"/>
      <w:jc w:val="right"/>
    </w:pPr>
    <w:r>
      <w:rPr>
        <w:rFonts w:ascii="Times New Roman" w:hAnsi="Times New Roman"/>
        <w:sz w:val="24"/>
        <w:lang w:val="es-CR" w:eastAsia="es-CR" w:bidi="es-CR"/>
      </w:rPr>
      <w:fldChar w:fldCharType="begin"/>
    </w:r>
    <w:r>
      <w:rPr>
        <w:rFonts w:ascii="Times New Roman" w:hAnsi="Times New Roman"/>
        <w:sz w:val="24"/>
        <w:lang w:val="es-CR" w:eastAsia="es-CR" w:bidi="es-CR"/>
      </w:rPr>
      <w:instrText xml:space="preserve">PAGE</w:instrText>
    </w:r>
    <w:r>
      <w:rPr>
        <w:rFonts w:ascii="Times New Roman" w:hAnsi="Times New Roman"/>
        <w:sz w:val="24"/>
        <w:lang w:val="es-CR" w:eastAsia="es-CR" w:bidi="es-CR"/>
      </w:rPr>
      <w:fldChar w:fldCharType="separate"/>
    </w:r>
    <w:r>
      <w:rPr>
        <w:rFonts w:ascii="Times New Roman" w:hAnsi="Times New Roman"/>
        <w:sz w:val="24"/>
        <w:lang w:val="es-CR" w:eastAsia="es-CR" w:bidi="es-CR"/>
      </w:rPr>
      <w:t>1</w:t>
    </w:r>
    <w:r>
      <w:rPr>
        <w:rFonts w:ascii="Times New Roman" w:hAnsi="Times New Roman"/>
        <w:sz w:val="24"/>
        <w:lang w:val="es-CR" w:eastAsia="es-CR" w:bidi="es-CR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6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2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31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C842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s-CR" w:eastAsia="es-CR" w:bidi="es-CR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240" w:after="0" w:line="480" w:lineRule="auto"/>
      <w:jc w:val="left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  <w:lang w:val="es-CR" w:eastAsia="es-CR" w:bidi="es-CR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40" w:after="0" w:line="480" w:lineRule="auto"/>
      <w:jc w:val="left"/>
      <w:outlineLvl w:val="1"/>
    </w:pPr>
    <w:rPr>
      <w:rFonts w:asciiTheme="majorHAnsi" w:hAnsiTheme="majorHAnsi" w:eastAsiaTheme="majorEastAsia" w:cstheme="majorBidi"/>
      <w:b/>
      <w:bCs/>
      <w:color w:val="000000"/>
      <w:sz w:val="24"/>
      <w:szCs w:val="26"/>
      <w:lang w:val="es-CR" w:eastAsia="es-CR" w:bidi="es-CR"/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40" w:after="0" w:line="480" w:lineRule="auto"/>
      <w:jc w:val="left"/>
      <w:outlineLvl w:val="2"/>
    </w:pPr>
    <w:rPr>
      <w:rFonts w:asciiTheme="majorHAnsi" w:hAnsiTheme="majorHAnsi" w:eastAsiaTheme="majorEastAsia" w:cstheme="majorBidi"/>
      <w:b/>
      <w:bCs/>
      <w:color w:val="000000"/>
      <w:sz w:val="24"/>
      <w:lang w:val="es-CR" w:eastAsia="es-CR" w:bidi="es-CR"/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toc 1"/>
    <w:basedOn w:val="1"/>
    <w:next w:val="1"/>
    <w:semiHidden/>
    <w:unhideWhenUsed/>
    <w:uiPriority w:val="39"/>
  </w:style>
  <w:style w:type="paragraph" w:styleId="1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19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1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2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23">
    <w:name w:val="List 3"/>
    <w:basedOn w:val="1"/>
    <w:unhideWhenUsed/>
    <w:uiPriority w:val="99"/>
    <w:pPr>
      <w:ind w:left="1080" w:hanging="360"/>
      <w:contextualSpacing/>
    </w:pPr>
  </w:style>
  <w:style w:type="paragraph" w:styleId="24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5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7">
    <w:name w:val="List Number"/>
    <w:basedOn w:val="1"/>
    <w:unhideWhenUsed/>
    <w:uiPriority w:val="99"/>
    <w:pPr>
      <w:numPr>
        <w:ilvl w:val="0"/>
        <w:numId w:val="3"/>
      </w:numPr>
      <w:contextualSpacing/>
    </w:pPr>
    <w:rPr>
      <w:rFonts w:ascii="Times New Roman" w:hAnsi="Times New Roman"/>
      <w:sz w:val="24"/>
      <w:lang w:val="es-CR" w:eastAsia="es-CR" w:bidi="es-CR"/>
    </w:rPr>
  </w:style>
  <w:style w:type="paragraph" w:styleId="28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1">
    <w:name w:val="List Bullet"/>
    <w:basedOn w:val="1"/>
    <w:unhideWhenUsed/>
    <w:qFormat/>
    <w:uiPriority w:val="99"/>
    <w:pPr>
      <w:numPr>
        <w:ilvl w:val="0"/>
        <w:numId w:val="5"/>
      </w:numPr>
      <w:contextualSpacing/>
    </w:pPr>
    <w:rPr>
      <w:rFonts w:ascii="Times New Roman" w:hAnsi="Times New Roman"/>
      <w:sz w:val="24"/>
      <w:lang w:val="es-CR" w:eastAsia="es-CR" w:bidi="es-CR"/>
    </w:rPr>
  </w:style>
  <w:style w:type="paragraph" w:styleId="32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4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5">
    <w:name w:val="Body Text"/>
    <w:basedOn w:val="1"/>
    <w:link w:val="48"/>
    <w:unhideWhenUsed/>
    <w:uiPriority w:val="99"/>
    <w:pPr>
      <w:spacing w:after="120"/>
    </w:pPr>
  </w:style>
  <w:style w:type="paragraph" w:styleId="36">
    <w:name w:val="Body Text 3"/>
    <w:basedOn w:val="1"/>
    <w:link w:val="50"/>
    <w:unhideWhenUsed/>
    <w:uiPriority w:val="99"/>
    <w:pPr>
      <w:spacing w:after="120"/>
    </w:pPr>
    <w:rPr>
      <w:sz w:val="16"/>
      <w:szCs w:val="16"/>
    </w:rPr>
  </w:style>
  <w:style w:type="paragraph" w:styleId="3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9">
    <w:name w:val="Header Char"/>
    <w:basedOn w:val="11"/>
    <w:link w:val="25"/>
    <w:qFormat/>
    <w:uiPriority w:val="99"/>
  </w:style>
  <w:style w:type="character" w:customStyle="1" w:styleId="40">
    <w:name w:val="Footer Char"/>
    <w:basedOn w:val="11"/>
    <w:link w:val="33"/>
    <w:uiPriority w:val="99"/>
  </w:style>
  <w:style w:type="paragraph" w:styleId="41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Body Text Char"/>
    <w:basedOn w:val="11"/>
    <w:link w:val="35"/>
    <w:qFormat/>
    <w:uiPriority w:val="99"/>
  </w:style>
  <w:style w:type="character" w:customStyle="1" w:styleId="49">
    <w:name w:val="Body Text 2 Char"/>
    <w:basedOn w:val="11"/>
    <w:link w:val="22"/>
    <w:qFormat/>
    <w:uiPriority w:val="99"/>
  </w:style>
  <w:style w:type="character" w:customStyle="1" w:styleId="50">
    <w:name w:val="Body Text 3 Char"/>
    <w:basedOn w:val="11"/>
    <w:link w:val="36"/>
    <w:qFormat/>
    <w:uiPriority w:val="99"/>
    <w:rPr>
      <w:sz w:val="16"/>
      <w:szCs w:val="16"/>
    </w:rPr>
  </w:style>
  <w:style w:type="character" w:customStyle="1" w:styleId="51">
    <w:name w:val="Macro Text Char"/>
    <w:basedOn w:val="11"/>
    <w:link w:val="19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Quote Char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Intense Quote Char"/>
    <w:basedOn w:val="11"/>
    <w:link w:val="60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7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Equipo 5</dc:creator>
  <dc:description>generated by python-docx</dc:description>
  <cp:keywords>APA 7, UCR, ASP.NET Core, WPF, SQL Server, Equipo 5</cp:keywords>
  <cp:lastModifiedBy>sebas</cp:lastModifiedBy>
  <dcterms:modified xsi:type="dcterms:W3CDTF">2026-07-01T23:06:23Z</dcterms:modified>
  <dc:subject>Proyecto 2 LPAC</dc:subject>
  <dc:title>Desarrollo de una aplicación web para gestión de punto de venta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2058-12.1.0.26880</vt:lpwstr>
  </property>
  <property fmtid="{D5CDD505-2E9C-101B-9397-08002B2CF9AE}" pid="3" name="ICV">
    <vt:lpwstr>D8A872EC0D0048B7A61FDD00B8995641_12</vt:lpwstr>
  </property>
</Properties>
</file>