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0131" w14:textId="77777777" w:rsidR="00B42A7A" w:rsidRDefault="00B42A7A" w:rsidP="00B42A7A">
      <w:pPr>
        <w:pStyle w:val="Ttulo1"/>
        <w:rPr>
          <w:lang w:eastAsia="es-AR"/>
        </w:rPr>
      </w:pPr>
    </w:p>
    <w:sdt>
      <w:sdtPr>
        <w:rPr>
          <w:lang w:val="es-ES"/>
        </w:rPr>
        <w:id w:val="-532500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5D2902" w14:textId="20FB9F79" w:rsidR="00B42A7A" w:rsidRDefault="00B42A7A">
          <w:pPr>
            <w:pStyle w:val="TtuloTDC"/>
          </w:pPr>
          <w:r>
            <w:rPr>
              <w:lang w:val="es-ES"/>
            </w:rPr>
            <w:t>Tabla de contenido</w:t>
          </w:r>
        </w:p>
        <w:p w14:paraId="1286D6AA" w14:textId="7F4FB956" w:rsidR="003E3F58" w:rsidRDefault="00B42A7A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04936" w:history="1">
            <w:r w:rsidR="003E3F58" w:rsidRPr="0051354B">
              <w:rPr>
                <w:rStyle w:val="Hipervnculo"/>
                <w:noProof/>
                <w:lang w:eastAsia="es-AR"/>
              </w:rPr>
              <w:t>Evidencia publicada entre el 24/07/2020 y el 30/07/2020</w:t>
            </w:r>
            <w:r w:rsidR="003E3F58">
              <w:rPr>
                <w:noProof/>
                <w:webHidden/>
              </w:rPr>
              <w:tab/>
            </w:r>
            <w:r w:rsidR="003E3F58">
              <w:rPr>
                <w:noProof/>
                <w:webHidden/>
              </w:rPr>
              <w:fldChar w:fldCharType="begin"/>
            </w:r>
            <w:r w:rsidR="003E3F58">
              <w:rPr>
                <w:noProof/>
                <w:webHidden/>
              </w:rPr>
              <w:instrText xml:space="preserve"> PAGEREF _Toc55804936 \h </w:instrText>
            </w:r>
            <w:r w:rsidR="003E3F58">
              <w:rPr>
                <w:noProof/>
                <w:webHidden/>
              </w:rPr>
            </w:r>
            <w:r w:rsidR="003E3F58">
              <w:rPr>
                <w:noProof/>
                <w:webHidden/>
              </w:rPr>
              <w:fldChar w:fldCharType="separate"/>
            </w:r>
            <w:r w:rsidR="003E3F58">
              <w:rPr>
                <w:noProof/>
                <w:webHidden/>
              </w:rPr>
              <w:t>2</w:t>
            </w:r>
            <w:r w:rsidR="003E3F58">
              <w:rPr>
                <w:noProof/>
                <w:webHidden/>
              </w:rPr>
              <w:fldChar w:fldCharType="end"/>
            </w:r>
          </w:hyperlink>
        </w:p>
        <w:p w14:paraId="59E5E58A" w14:textId="7EF8FB92" w:rsidR="003E3F58" w:rsidRDefault="003E3F58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37" w:history="1">
            <w:r w:rsidRPr="0051354B">
              <w:rPr>
                <w:rStyle w:val="Hipervnculo"/>
                <w:noProof/>
                <w:lang w:eastAsia="es-AR"/>
              </w:rPr>
              <w:t>Más sobre los orígenes del SARS-CoV-2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B84C" w14:textId="7A3FBED4" w:rsidR="003E3F58" w:rsidRDefault="003E3F58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38" w:history="1">
            <w:r w:rsidRPr="0051354B">
              <w:rPr>
                <w:rStyle w:val="Hipervnculo"/>
                <w:noProof/>
                <w:lang w:eastAsia="es-AR"/>
              </w:rPr>
              <w:t>Más sobre su transmisión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1B4C" w14:textId="5FAA7E06" w:rsidR="003E3F58" w:rsidRDefault="003E3F58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39" w:history="1">
            <w:r w:rsidRPr="0051354B">
              <w:rPr>
                <w:rStyle w:val="Hipervnculo"/>
                <w:noProof/>
              </w:rPr>
              <w:t>Recién nacidos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E45C" w14:textId="3316F9A7" w:rsidR="003E3F58" w:rsidRDefault="003E3F58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40" w:history="1">
            <w:r w:rsidRPr="0051354B">
              <w:rPr>
                <w:rStyle w:val="Hipervnculo"/>
                <w:noProof/>
              </w:rPr>
              <w:t>Escuelas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8EA4" w14:textId="05B6DCCB" w:rsidR="003E3F58" w:rsidRDefault="003E3F58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41" w:history="1">
            <w:r w:rsidRPr="0051354B">
              <w:rPr>
                <w:rStyle w:val="Hipervnculo"/>
                <w:noProof/>
              </w:rPr>
              <w:t>Cruceros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EEBD" w14:textId="1F21A74C" w:rsidR="003E3F58" w:rsidRDefault="003E3F58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42" w:history="1">
            <w:r w:rsidRPr="0051354B">
              <w:rPr>
                <w:rStyle w:val="Hipervnculo"/>
                <w:noProof/>
                <w:lang w:eastAsia="es-AR"/>
              </w:rPr>
              <w:t>Personas en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953D" w14:textId="3D53DF3B" w:rsidR="003E3F58" w:rsidRDefault="003E3F58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43" w:history="1">
            <w:r w:rsidRPr="0051354B">
              <w:rPr>
                <w:rStyle w:val="Hipervnculo"/>
                <w:noProof/>
                <w:lang w:eastAsia="es-AR"/>
              </w:rPr>
              <w:t>Efectos de larga 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1111" w14:textId="4A038832" w:rsidR="003E3F58" w:rsidRDefault="003E3F58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44" w:history="1">
            <w:r w:rsidRPr="0051354B">
              <w:rPr>
                <w:rStyle w:val="Hipervnculo"/>
                <w:noProof/>
                <w:lang w:eastAsia="es-AR"/>
              </w:rPr>
              <w:t>La mortalidad se puede reducir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6CBA" w14:textId="7FBBBFCB" w:rsidR="003E3F58" w:rsidRDefault="003E3F58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45" w:history="1">
            <w:r w:rsidRPr="0051354B">
              <w:rPr>
                <w:rStyle w:val="Hipervnculo"/>
                <w:noProof/>
                <w:lang w:eastAsia="es-AR"/>
              </w:rPr>
              <w:t>¿Protección cruzada?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F436" w14:textId="04250EB0" w:rsidR="003E3F58" w:rsidRDefault="003E3F58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46" w:history="1">
            <w:r w:rsidRPr="0051354B">
              <w:rPr>
                <w:rStyle w:val="Hipervnculo"/>
                <w:noProof/>
                <w:lang w:eastAsia="es-AR"/>
              </w:rPr>
              <w:t>Novedades en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90E3" w14:textId="5838429C" w:rsidR="003E3F58" w:rsidRDefault="003E3F58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47" w:history="1">
            <w:r w:rsidRPr="0051354B">
              <w:rPr>
                <w:rStyle w:val="Hipervnculo"/>
                <w:noProof/>
              </w:rPr>
              <w:t>Anticuerpos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2311" w14:textId="65475B16" w:rsidR="003E3F58" w:rsidRDefault="003E3F58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48" w:history="1">
            <w:r w:rsidRPr="0051354B">
              <w:rPr>
                <w:rStyle w:val="Hipervnculo"/>
                <w:noProof/>
              </w:rPr>
              <w:t>Hidroxicloroquina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0B69" w14:textId="296A93B9" w:rsidR="003E3F58" w:rsidRDefault="003E3F58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55804949" w:history="1">
            <w:r w:rsidRPr="0051354B">
              <w:rPr>
                <w:rStyle w:val="Hipervnculo"/>
                <w:noProof/>
                <w:lang w:eastAsia="es-AR"/>
              </w:rPr>
              <w:t>Vacunas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1D9F" w14:textId="283D7285" w:rsidR="00B42A7A" w:rsidRDefault="00B42A7A">
          <w:r>
            <w:rPr>
              <w:b/>
              <w:bCs/>
              <w:lang w:val="es-ES"/>
            </w:rPr>
            <w:fldChar w:fldCharType="end"/>
          </w:r>
        </w:p>
      </w:sdtContent>
    </w:sdt>
    <w:p w14:paraId="385649E2" w14:textId="4FFB2A70" w:rsidR="00B42A7A" w:rsidRDefault="00B42A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AR"/>
        </w:rPr>
      </w:pPr>
      <w:r>
        <w:rPr>
          <w:lang w:eastAsia="es-AR"/>
        </w:rPr>
        <w:br w:type="page"/>
      </w:r>
    </w:p>
    <w:p w14:paraId="7197F1A3" w14:textId="77777777" w:rsidR="00B42A7A" w:rsidRDefault="00B42A7A" w:rsidP="00B42A7A">
      <w:pPr>
        <w:pStyle w:val="Ttulo1"/>
        <w:rPr>
          <w:lang w:eastAsia="es-AR"/>
        </w:rPr>
      </w:pPr>
    </w:p>
    <w:p w14:paraId="27F91B96" w14:textId="66F3F6F7" w:rsidR="007C0C91" w:rsidRPr="004A185A" w:rsidRDefault="007C0C91" w:rsidP="00B42A7A">
      <w:pPr>
        <w:pStyle w:val="Ttulo1"/>
        <w:rPr>
          <w:lang w:eastAsia="es-AR"/>
        </w:rPr>
      </w:pPr>
      <w:bookmarkStart w:id="0" w:name="_Toc55804936"/>
      <w:r w:rsidRPr="004A185A">
        <w:rPr>
          <w:lang w:eastAsia="es-AR"/>
        </w:rPr>
        <w:t>Evidencia publicada entre el 24/07/2020 y el 30/07/2020</w:t>
      </w:r>
      <w:bookmarkEnd w:id="0"/>
    </w:p>
    <w:p w14:paraId="1AA40536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Hoy se cumplen seis meses desde que la OMS declaró el nuevo coronavirus una emergencia pública de carácter internacional, cuando había menos de 100 casos y ninguna muerte fuera de China.</w:t>
      </w:r>
    </w:p>
    <w:p w14:paraId="2168B98B" w14:textId="77777777" w:rsidR="007C0C91" w:rsidRPr="007C0C91" w:rsidRDefault="007C0C91" w:rsidP="00B42A7A">
      <w:pPr>
        <w:pStyle w:val="Ttulo1"/>
        <w:rPr>
          <w:lang w:eastAsia="es-AR"/>
        </w:rPr>
      </w:pPr>
      <w:bookmarkStart w:id="1" w:name="_Toc55804937"/>
      <w:r w:rsidRPr="007C0C91">
        <w:rPr>
          <w:lang w:eastAsia="es-AR"/>
        </w:rPr>
        <w:t>Más sobre los orígenes del SARS-CoV-2</w:t>
      </w:r>
      <w:bookmarkEnd w:id="1"/>
    </w:p>
    <w:p w14:paraId="49A2C391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Aunque aún no se sabe de manera precisa cómo, cuándo o dónde saltó el nuevo coronavirus a humanos, un nuevo </w:t>
      </w:r>
      <w:hyperlink r:id="rId7" w:tgtFrame="_blank" w:history="1">
        <w:r w:rsidRPr="007C0C91">
          <w:rPr>
            <w:sz w:val="27"/>
            <w:szCs w:val="27"/>
            <w:lang w:eastAsia="es-AR"/>
          </w:rPr>
          <w:t>estudio genómico</w:t>
        </w:r>
      </w:hyperlink>
      <w:r w:rsidRPr="007C0C91">
        <w:rPr>
          <w:sz w:val="27"/>
          <w:szCs w:val="27"/>
          <w:lang w:eastAsia="es-AR"/>
        </w:rPr>
        <w:t> sugiere que el linaje que dio origen al SARS-CoV-2 divergió de otros virus relacionados hace entre 40 y 70 años, y que ha estado circulando en murciélagos durante varias décadas. El estudio no descarta que un pangolín u otro mamífero haya servido de huésped intermediario, pero sí sugiere que el SARS-CoV-2 no se recombinó con un coronavirus del pangolín.</w:t>
      </w:r>
    </w:p>
    <w:p w14:paraId="043562C1" w14:textId="77777777" w:rsidR="007C0C91" w:rsidRPr="007C0C91" w:rsidRDefault="007C0C91" w:rsidP="00B42A7A">
      <w:pPr>
        <w:pStyle w:val="Ttulo1"/>
        <w:rPr>
          <w:lang w:eastAsia="es-AR"/>
        </w:rPr>
      </w:pPr>
      <w:bookmarkStart w:id="2" w:name="_Toc55804938"/>
      <w:r w:rsidRPr="007C0C91">
        <w:rPr>
          <w:lang w:eastAsia="es-AR"/>
        </w:rPr>
        <w:t>Más sobre su transmisión</w:t>
      </w:r>
      <w:bookmarkEnd w:id="2"/>
    </w:p>
    <w:p w14:paraId="0F1A27C2" w14:textId="77777777" w:rsidR="007C0C91" w:rsidRPr="007C0C91" w:rsidRDefault="007C0C91" w:rsidP="00B42A7A">
      <w:pPr>
        <w:pStyle w:val="Ttulo2"/>
      </w:pPr>
      <w:bookmarkStart w:id="3" w:name="_Toc55804939"/>
      <w:r w:rsidRPr="007C0C91">
        <w:t>Recién nacidos</w:t>
      </w:r>
      <w:bookmarkEnd w:id="3"/>
    </w:p>
    <w:p w14:paraId="7974064E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Un </w:t>
      </w:r>
      <w:hyperlink r:id="rId8" w:tgtFrame="_blank" w:history="1">
        <w:r w:rsidRPr="007C0C91">
          <w:rPr>
            <w:sz w:val="27"/>
            <w:szCs w:val="27"/>
            <w:lang w:eastAsia="es-AR"/>
          </w:rPr>
          <w:t>estudio</w:t>
        </w:r>
      </w:hyperlink>
      <w:r w:rsidRPr="007C0C91">
        <w:rPr>
          <w:sz w:val="27"/>
          <w:szCs w:val="27"/>
          <w:lang w:eastAsia="es-AR"/>
        </w:rPr>
        <w:t> con 116 mujeres positivas para COVID-19 que dieron a luz muestra que la transmisión del virus al bebé es poco probable siempre y cuando se respeten las medidas necesarias de higiene. Los recién nacidos pueden compartir habitación con la madre y amamantar si los padres adoptan estrategias preventivas.</w:t>
      </w:r>
    </w:p>
    <w:p w14:paraId="7322CD74" w14:textId="77777777" w:rsidR="007C0C91" w:rsidRPr="007C0C91" w:rsidRDefault="007C0C91" w:rsidP="00B42A7A">
      <w:pPr>
        <w:pStyle w:val="Ttulo2"/>
      </w:pPr>
      <w:bookmarkStart w:id="4" w:name="_Toc55804940"/>
      <w:r w:rsidRPr="007C0C91">
        <w:t>Escuelas</w:t>
      </w:r>
      <w:bookmarkEnd w:id="4"/>
    </w:p>
    <w:p w14:paraId="1930C35E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Un brote importante de COVID-19 en una </w:t>
      </w:r>
      <w:hyperlink r:id="rId9" w:anchor="html_fulltext" w:tgtFrame="_blank" w:history="1">
        <w:r w:rsidRPr="007C0C91">
          <w:rPr>
            <w:sz w:val="27"/>
            <w:szCs w:val="27"/>
            <w:lang w:eastAsia="es-AR"/>
          </w:rPr>
          <w:t>escuela secundaria de Israel</w:t>
        </w:r>
      </w:hyperlink>
      <w:r w:rsidRPr="007C0C91">
        <w:rPr>
          <w:sz w:val="27"/>
          <w:szCs w:val="27"/>
          <w:lang w:eastAsia="es-AR"/>
        </w:rPr>
        <w:t> se asoció con la dispensa de usar mascarillas y con el uso continuo de aire acondicionado, debido a una ola de calor extremo.</w:t>
      </w:r>
    </w:p>
    <w:p w14:paraId="7EC3BA19" w14:textId="77777777" w:rsidR="007C0C91" w:rsidRPr="007C0C91" w:rsidRDefault="007C0C91" w:rsidP="00B42A7A">
      <w:pPr>
        <w:pStyle w:val="Ttulo2"/>
      </w:pPr>
      <w:bookmarkStart w:id="5" w:name="_Toc55804941"/>
      <w:r w:rsidRPr="007C0C91">
        <w:t>Cruceros</w:t>
      </w:r>
      <w:bookmarkEnd w:id="5"/>
    </w:p>
    <w:p w14:paraId="35C73FD4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Un </w:t>
      </w:r>
      <w:hyperlink r:id="rId10" w:tgtFrame="_blank" w:history="1">
        <w:r w:rsidRPr="007C0C91">
          <w:rPr>
            <w:sz w:val="27"/>
            <w:szCs w:val="27"/>
            <w:lang w:eastAsia="es-AR"/>
          </w:rPr>
          <w:t>análisis genómico</w:t>
        </w:r>
      </w:hyperlink>
      <w:r w:rsidRPr="007C0C91">
        <w:rPr>
          <w:sz w:val="27"/>
          <w:szCs w:val="27"/>
          <w:lang w:eastAsia="es-AR"/>
        </w:rPr>
        <w:t> muestra que el brote en el crucero </w:t>
      </w:r>
      <w:proofErr w:type="spellStart"/>
      <w:r w:rsidRPr="007C0C91">
        <w:rPr>
          <w:i/>
          <w:iCs/>
          <w:sz w:val="27"/>
          <w:szCs w:val="27"/>
          <w:lang w:eastAsia="es-AR"/>
        </w:rPr>
        <w:t>Diamond</w:t>
      </w:r>
      <w:proofErr w:type="spellEnd"/>
      <w:r w:rsidRPr="007C0C91">
        <w:rPr>
          <w:i/>
          <w:iCs/>
          <w:sz w:val="27"/>
          <w:szCs w:val="27"/>
          <w:lang w:eastAsia="es-AR"/>
        </w:rPr>
        <w:t xml:space="preserve"> </w:t>
      </w:r>
      <w:proofErr w:type="spellStart"/>
      <w:r w:rsidRPr="007C0C91">
        <w:rPr>
          <w:i/>
          <w:iCs/>
          <w:sz w:val="27"/>
          <w:szCs w:val="27"/>
          <w:lang w:eastAsia="es-AR"/>
        </w:rPr>
        <w:t>Princess</w:t>
      </w:r>
      <w:proofErr w:type="spellEnd"/>
      <w:r w:rsidRPr="007C0C91">
        <w:rPr>
          <w:sz w:val="27"/>
          <w:szCs w:val="27"/>
          <w:lang w:eastAsia="es-AR"/>
        </w:rPr>
        <w:t> (que infectó a cerca de 700 personas) se generó a partir de una sola persona que subió a bordo infectada con el virus. La propagación ocurrió durante actividades masivas en áreas de recreación, y entre personas que compartían cabina durante la cuarentena.</w:t>
      </w:r>
    </w:p>
    <w:p w14:paraId="37E86D7A" w14:textId="77777777" w:rsidR="007C0C91" w:rsidRPr="007C0C91" w:rsidRDefault="007C0C91" w:rsidP="00B42A7A">
      <w:pPr>
        <w:pStyle w:val="Ttulo1"/>
        <w:rPr>
          <w:lang w:eastAsia="es-AR"/>
        </w:rPr>
      </w:pPr>
      <w:bookmarkStart w:id="6" w:name="_Toc55804942"/>
      <w:r w:rsidRPr="007C0C91">
        <w:rPr>
          <w:lang w:eastAsia="es-AR"/>
        </w:rPr>
        <w:lastRenderedPageBreak/>
        <w:t>Personas en riesgo</w:t>
      </w:r>
      <w:bookmarkEnd w:id="6"/>
    </w:p>
    <w:p w14:paraId="6ABCA368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En el continente americano, tres de cada diez personas –es decir casi 325 millones– están en peligro de desarrollar una forma grave de COVID-19 debido a condiciones crónicas de salud, según la </w:t>
      </w:r>
      <w:hyperlink r:id="rId11" w:tgtFrame="_blank" w:history="1">
        <w:r w:rsidRPr="007C0C91">
          <w:rPr>
            <w:sz w:val="27"/>
            <w:szCs w:val="27"/>
            <w:lang w:eastAsia="es-AR"/>
          </w:rPr>
          <w:t>Organización Panamericana de la Salud</w:t>
        </w:r>
      </w:hyperlink>
      <w:r w:rsidRPr="007C0C91">
        <w:rPr>
          <w:sz w:val="27"/>
          <w:szCs w:val="27"/>
          <w:lang w:eastAsia="es-AR"/>
        </w:rPr>
        <w:t> (OPS).</w:t>
      </w:r>
    </w:p>
    <w:p w14:paraId="61D5AE90" w14:textId="77777777" w:rsidR="007C0C91" w:rsidRPr="007C0C91" w:rsidRDefault="007C0C91" w:rsidP="00B42A7A">
      <w:pPr>
        <w:pStyle w:val="Ttulo1"/>
        <w:rPr>
          <w:lang w:eastAsia="es-AR"/>
        </w:rPr>
      </w:pPr>
      <w:bookmarkStart w:id="7" w:name="_Toc55804943"/>
      <w:r w:rsidRPr="007C0C91">
        <w:rPr>
          <w:lang w:eastAsia="es-AR"/>
        </w:rPr>
        <w:t>Efectos de larga duración</w:t>
      </w:r>
      <w:bookmarkEnd w:id="7"/>
    </w:p>
    <w:p w14:paraId="5D96A5B9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Una </w:t>
      </w:r>
      <w:hyperlink r:id="rId12" w:tgtFrame="_blank" w:history="1">
        <w:r w:rsidRPr="007C0C91">
          <w:rPr>
            <w:sz w:val="27"/>
            <w:szCs w:val="27"/>
            <w:lang w:eastAsia="es-AR"/>
          </w:rPr>
          <w:t>encuesta telefónica</w:t>
        </w:r>
      </w:hyperlink>
      <w:r w:rsidRPr="007C0C91">
        <w:rPr>
          <w:sz w:val="27"/>
          <w:szCs w:val="27"/>
          <w:lang w:eastAsia="es-AR"/>
        </w:rPr>
        <w:t> realizada en los EE. UU. con adultos sintomáticos que resultaron positivos para la prueba de SARS-CoV-2 pero que no fueron hospitalizados, revela que el 35% de los encuestados no había recuperado su estado usual de salud entre dos y tres semanas después del diagnóstico. Uno de cada cinco jóvenes adultos sin ninguna condición crónica de salud sufría todavía efectos.</w:t>
      </w:r>
    </w:p>
    <w:p w14:paraId="77609B1F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Otro </w:t>
      </w:r>
      <w:hyperlink r:id="rId13" w:tgtFrame="_blank" w:history="1">
        <w:r w:rsidRPr="007C0C91">
          <w:rPr>
            <w:sz w:val="27"/>
            <w:szCs w:val="27"/>
            <w:lang w:eastAsia="es-AR"/>
          </w:rPr>
          <w:t>estudio</w:t>
        </w:r>
      </w:hyperlink>
      <w:r w:rsidRPr="007C0C91">
        <w:rPr>
          <w:sz w:val="27"/>
          <w:szCs w:val="27"/>
          <w:lang w:eastAsia="es-AR"/>
        </w:rPr>
        <w:t> con una cohorte de pacientes alemanes recién recuperados de COVID-19 reveló una inflamación cardiaca en el 60% de los pacientes, independientemente de problemas preexistentes de salud o de la gravedad de los síntomas.</w:t>
      </w:r>
    </w:p>
    <w:p w14:paraId="502BEA33" w14:textId="77777777" w:rsidR="007C0C91" w:rsidRPr="007C0C91" w:rsidRDefault="007C0C91" w:rsidP="00B42A7A">
      <w:pPr>
        <w:pStyle w:val="Ttulo1"/>
        <w:rPr>
          <w:lang w:eastAsia="es-AR"/>
        </w:rPr>
      </w:pPr>
      <w:bookmarkStart w:id="8" w:name="_Toc55804944"/>
      <w:r w:rsidRPr="007C0C91">
        <w:rPr>
          <w:lang w:eastAsia="es-AR"/>
        </w:rPr>
        <w:t>La mortalidad se puede reducir</w:t>
      </w:r>
      <w:bookmarkEnd w:id="8"/>
    </w:p>
    <w:p w14:paraId="3FC47CC5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Un </w:t>
      </w:r>
      <w:hyperlink r:id="rId14" w:tgtFrame="_blank" w:history="1">
        <w:r w:rsidRPr="007C0C91">
          <w:rPr>
            <w:sz w:val="27"/>
            <w:szCs w:val="27"/>
            <w:lang w:eastAsia="es-AR"/>
          </w:rPr>
          <w:t>análisis</w:t>
        </w:r>
      </w:hyperlink>
      <w:r w:rsidRPr="007C0C91">
        <w:rPr>
          <w:sz w:val="27"/>
          <w:szCs w:val="27"/>
          <w:lang w:eastAsia="es-AR"/>
        </w:rPr>
        <w:t> de datos de 169 países muestra que la tasa de mortalidad por COVID-19 puede reducirse si se incrementa el cribado, se mejora la eficacia del gobierno y se aumenta el número de camas de hospital.</w:t>
      </w:r>
    </w:p>
    <w:p w14:paraId="6FF36E06" w14:textId="77777777" w:rsidR="007C0C91" w:rsidRPr="007C0C91" w:rsidRDefault="007C0C91" w:rsidP="00B42A7A">
      <w:pPr>
        <w:pStyle w:val="Ttulo1"/>
        <w:rPr>
          <w:lang w:eastAsia="es-AR"/>
        </w:rPr>
      </w:pPr>
      <w:bookmarkStart w:id="9" w:name="_Toc55804945"/>
      <w:r w:rsidRPr="007C0C91">
        <w:rPr>
          <w:lang w:eastAsia="es-AR"/>
        </w:rPr>
        <w:t>¿Protección cruzada?</w:t>
      </w:r>
      <w:bookmarkEnd w:id="9"/>
    </w:p>
    <w:p w14:paraId="68D0E1ED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Algunas personas que nunca han estado expuestas al nuevo coronavirus ni han sido infectadas por él tienen anticuerpos capaces de reconocer una región de la proteína viral </w:t>
      </w:r>
      <w:proofErr w:type="spellStart"/>
      <w:r w:rsidRPr="007C0C91">
        <w:rPr>
          <w:i/>
          <w:iCs/>
          <w:sz w:val="27"/>
          <w:szCs w:val="27"/>
          <w:lang w:eastAsia="es-AR"/>
        </w:rPr>
        <w:t>Spike</w:t>
      </w:r>
      <w:proofErr w:type="spellEnd"/>
      <w:r w:rsidRPr="007C0C91">
        <w:rPr>
          <w:sz w:val="27"/>
          <w:szCs w:val="27"/>
          <w:lang w:eastAsia="es-AR"/>
        </w:rPr>
        <w:t> llamada S2 y que comparten los coronavirus del resfriado común (</w:t>
      </w:r>
      <w:proofErr w:type="spellStart"/>
      <w:r w:rsidRPr="007C0C91">
        <w:rPr>
          <w:sz w:val="27"/>
          <w:szCs w:val="27"/>
          <w:lang w:eastAsia="es-AR"/>
        </w:rPr>
        <w:t>HCoVs</w:t>
      </w:r>
      <w:proofErr w:type="spellEnd"/>
      <w:r w:rsidRPr="007C0C91">
        <w:rPr>
          <w:sz w:val="27"/>
          <w:szCs w:val="27"/>
          <w:lang w:eastAsia="es-AR"/>
        </w:rPr>
        <w:t>) y el SARS-CoV-2. El </w:t>
      </w:r>
      <w:hyperlink r:id="rId15" w:tgtFrame="_blank" w:history="1">
        <w:r w:rsidRPr="007C0C91">
          <w:rPr>
            <w:sz w:val="27"/>
            <w:szCs w:val="27"/>
            <w:lang w:eastAsia="es-AR"/>
          </w:rPr>
          <w:t>estudio</w:t>
        </w:r>
      </w:hyperlink>
      <w:r w:rsidRPr="007C0C91">
        <w:rPr>
          <w:sz w:val="27"/>
          <w:szCs w:val="27"/>
          <w:lang w:eastAsia="es-AR"/>
        </w:rPr>
        <w:t> también muestra que estos anticuerpos pueden neutralizar al SARS-CoV-2 y son más frecuentes en la población infantil y adolescente.</w:t>
      </w:r>
    </w:p>
    <w:p w14:paraId="307823C8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De la misma manera, se han detectado células T del sistema inmune capaces de reconocer al SARS-CoV-2 en individuos que nunca han estado expuestos al virus. Un </w:t>
      </w:r>
      <w:hyperlink r:id="rId16" w:tgtFrame="_blank" w:history="1">
        <w:r w:rsidRPr="007C0C91">
          <w:rPr>
            <w:sz w:val="27"/>
            <w:szCs w:val="27"/>
            <w:lang w:eastAsia="es-AR"/>
          </w:rPr>
          <w:t>estudio</w:t>
        </w:r>
      </w:hyperlink>
      <w:r w:rsidRPr="007C0C91">
        <w:rPr>
          <w:sz w:val="27"/>
          <w:szCs w:val="27"/>
          <w:lang w:eastAsia="es-AR"/>
        </w:rPr>
        <w:t> publicado en </w:t>
      </w:r>
      <w:proofErr w:type="spellStart"/>
      <w:r w:rsidRPr="007C0C91">
        <w:rPr>
          <w:i/>
          <w:iCs/>
          <w:sz w:val="27"/>
          <w:szCs w:val="27"/>
          <w:lang w:eastAsia="es-AR"/>
        </w:rPr>
        <w:t>Nature</w:t>
      </w:r>
      <w:proofErr w:type="spellEnd"/>
      <w:r w:rsidRPr="007C0C91">
        <w:rPr>
          <w:sz w:val="27"/>
          <w:szCs w:val="27"/>
          <w:lang w:eastAsia="es-AR"/>
        </w:rPr>
        <w:t> esta semana detectó células T CD4+ capaces de reconocer al SARS-CoV-2 en un 83% de pacientes con COVID-19 pero también en un 35% de personas sanas. Estas células reconocían una región de la proteína S compartida por el SARS-CoV-2 y los coronavirus del resfriado común. Aún no se sabe qué papel juegan estas células T preexistentes, con reactividad cruzada al SARS-CoV-2, en el desenlace clínico de la COVID-19.</w:t>
      </w:r>
    </w:p>
    <w:p w14:paraId="0C016B9A" w14:textId="77777777" w:rsidR="007C0C91" w:rsidRPr="007C0C91" w:rsidRDefault="007C0C91" w:rsidP="00B42A7A">
      <w:pPr>
        <w:pStyle w:val="Ttulo1"/>
        <w:rPr>
          <w:lang w:eastAsia="es-AR"/>
        </w:rPr>
      </w:pPr>
      <w:bookmarkStart w:id="10" w:name="_Toc55804946"/>
      <w:r w:rsidRPr="007C0C91">
        <w:rPr>
          <w:lang w:eastAsia="es-AR"/>
        </w:rPr>
        <w:lastRenderedPageBreak/>
        <w:t>Novedades en tratamiento</w:t>
      </w:r>
      <w:bookmarkEnd w:id="10"/>
    </w:p>
    <w:p w14:paraId="2D89B269" w14:textId="77777777" w:rsidR="007C0C91" w:rsidRPr="007C0C91" w:rsidRDefault="007C0C91" w:rsidP="00B42A7A">
      <w:pPr>
        <w:pStyle w:val="Ttulo3"/>
      </w:pPr>
      <w:bookmarkStart w:id="11" w:name="_Toc55804947"/>
      <w:r w:rsidRPr="007C0C91">
        <w:t>Anticuerpos</w:t>
      </w:r>
      <w:bookmarkEnd w:id="11"/>
    </w:p>
    <w:p w14:paraId="168E3A38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Un </w:t>
      </w:r>
      <w:hyperlink r:id="rId17" w:tgtFrame="_blank" w:history="1">
        <w:r w:rsidRPr="007C0C91">
          <w:rPr>
            <w:sz w:val="27"/>
            <w:szCs w:val="27"/>
            <w:lang w:eastAsia="es-AR"/>
          </w:rPr>
          <w:t>anticuerpo humanizado</w:t>
        </w:r>
      </w:hyperlink>
      <w:r w:rsidRPr="007C0C91">
        <w:rPr>
          <w:sz w:val="27"/>
          <w:szCs w:val="27"/>
          <w:lang w:eastAsia="es-AR"/>
        </w:rPr>
        <w:t> (obtenido en ratón) redujo los niveles de SARS-CoV-2 en los pulmones y previno patología pulmonar en un modelo animal de COVID-19. El anticuerpo se une a la región de la proteína S que permite al virus invadir las células del huésped y lo neutraliza.</w:t>
      </w:r>
    </w:p>
    <w:p w14:paraId="695C222D" w14:textId="77777777" w:rsidR="007C0C91" w:rsidRPr="007C0C91" w:rsidRDefault="007C0C91" w:rsidP="00B42A7A">
      <w:pPr>
        <w:pStyle w:val="Ttulo3"/>
      </w:pPr>
      <w:bookmarkStart w:id="12" w:name="_Toc55804948"/>
      <w:r w:rsidRPr="007C0C91">
        <w:t>Hidroxicloroquina</w:t>
      </w:r>
      <w:bookmarkEnd w:id="12"/>
    </w:p>
    <w:p w14:paraId="0E97FC28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Esta semana se han publicado cuatro estudios que proporcionan aún más evidencia de que el fármaco no es eficaz para prevenir o tratar la COVID-19.</w:t>
      </w:r>
    </w:p>
    <w:p w14:paraId="77B13BE8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Un </w:t>
      </w:r>
      <w:hyperlink r:id="rId18" w:tgtFrame="_blank" w:history="1">
        <w:r w:rsidRPr="007C0C91">
          <w:rPr>
            <w:sz w:val="27"/>
            <w:szCs w:val="27"/>
            <w:lang w:eastAsia="es-AR"/>
          </w:rPr>
          <w:t>ensayo multicéntrico</w:t>
        </w:r>
      </w:hyperlink>
      <w:r w:rsidRPr="007C0C91">
        <w:rPr>
          <w:sz w:val="27"/>
          <w:szCs w:val="27"/>
          <w:lang w:eastAsia="es-AR"/>
        </w:rPr>
        <w:t> y controlado en Brasil, con pacientes hospitalizados con enfermedad leve o moderada, muestra que la hidroxicloroquina, con o sin azitromicina, no mejoró el estatus clínico después de 15 días, comparado con el grupo de control. Además, el ensayo </w:t>
      </w:r>
      <w:hyperlink r:id="rId19" w:tgtFrame="_blank" w:history="1">
        <w:r w:rsidRPr="007C0C91">
          <w:rPr>
            <w:sz w:val="27"/>
            <w:szCs w:val="27"/>
            <w:lang w:eastAsia="es-AR"/>
          </w:rPr>
          <w:t>RECOVERY</w:t>
        </w:r>
      </w:hyperlink>
      <w:r w:rsidRPr="007C0C91">
        <w:rPr>
          <w:sz w:val="27"/>
          <w:szCs w:val="27"/>
          <w:lang w:eastAsia="es-AR"/>
        </w:rPr>
        <w:t> ha publicado sus resultados con 1.561 pacientes hospitalizados que recibieron hidroxicloroquina y 3.155 pacientes que no la recibieron. El fármaco no redujo la mortalidad a los 28 días e incluso se asoció con una estancia más larga en el hospital y un mayor riesgo de progresar hacia la ventilación mecánica o la muerte.</w:t>
      </w:r>
    </w:p>
    <w:p w14:paraId="65542805" w14:textId="77777777" w:rsidR="007C0C91" w:rsidRPr="007C0C91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Dos ensayos preclínicos apoyan estos resultados. Un </w:t>
      </w:r>
      <w:hyperlink r:id="rId20" w:tgtFrame="_blank" w:history="1">
        <w:r w:rsidRPr="007C0C91">
          <w:rPr>
            <w:sz w:val="27"/>
            <w:szCs w:val="27"/>
            <w:lang w:eastAsia="es-AR"/>
          </w:rPr>
          <w:t>estudio</w:t>
        </w:r>
      </w:hyperlink>
      <w:r w:rsidRPr="007C0C91">
        <w:rPr>
          <w:sz w:val="27"/>
          <w:szCs w:val="27"/>
          <w:lang w:eastAsia="es-AR"/>
        </w:rPr>
        <w:t>, realizado con macacos infectados con SARS-CoV-2, muestra que la hidroxicloroquina, con o sin azitromicina, no tiene ningún efecto terapéutico o profiláctico. Otro estudio muestra que, aunque la cloroquina inhibe la replicación del virus en líneas celulares del riñón, no bloquea la infección en una </w:t>
      </w:r>
      <w:hyperlink r:id="rId21" w:tgtFrame="_blank" w:history="1">
        <w:r w:rsidRPr="007C0C91">
          <w:rPr>
            <w:sz w:val="27"/>
            <w:szCs w:val="27"/>
            <w:lang w:eastAsia="es-AR"/>
          </w:rPr>
          <w:t>línea celular del pulmón</w:t>
        </w:r>
      </w:hyperlink>
      <w:r w:rsidRPr="007C0C91">
        <w:rPr>
          <w:sz w:val="27"/>
          <w:szCs w:val="27"/>
          <w:lang w:eastAsia="es-AR"/>
        </w:rPr>
        <w:t>, lo cual indica que el fármaco interfiere con una vía que no es relevante en el pulmón y por lo tanto es improbable que frene la propagación del virus en y entre pacientes.</w:t>
      </w:r>
    </w:p>
    <w:p w14:paraId="689021A7" w14:textId="77777777" w:rsidR="007C0C91" w:rsidRPr="007C0C91" w:rsidRDefault="007C0C91" w:rsidP="00B42A7A">
      <w:pPr>
        <w:pStyle w:val="Ttulo1"/>
        <w:rPr>
          <w:lang w:eastAsia="es-AR"/>
        </w:rPr>
      </w:pPr>
      <w:bookmarkStart w:id="13" w:name="_Toc55804949"/>
      <w:r w:rsidRPr="007C0C91">
        <w:rPr>
          <w:lang w:eastAsia="es-AR"/>
        </w:rPr>
        <w:t>Vacunas</w:t>
      </w:r>
      <w:bookmarkEnd w:id="13"/>
    </w:p>
    <w:p w14:paraId="7C67FBB3" w14:textId="77777777" w:rsidR="007C0C91" w:rsidRPr="004A185A" w:rsidRDefault="007C0C91" w:rsidP="004A185A">
      <w:pPr>
        <w:jc w:val="both"/>
        <w:rPr>
          <w:sz w:val="27"/>
          <w:szCs w:val="27"/>
          <w:lang w:eastAsia="es-AR"/>
        </w:rPr>
      </w:pPr>
      <w:r w:rsidRPr="007C0C91">
        <w:rPr>
          <w:sz w:val="27"/>
          <w:szCs w:val="27"/>
          <w:lang w:eastAsia="es-AR"/>
        </w:rPr>
        <w:t>Una </w:t>
      </w:r>
      <w:hyperlink r:id="rId22" w:tgtFrame="_blank" w:history="1">
        <w:r w:rsidRPr="007C0C91">
          <w:rPr>
            <w:sz w:val="27"/>
            <w:szCs w:val="27"/>
            <w:lang w:eastAsia="es-AR"/>
          </w:rPr>
          <w:t>vacuna a base de ARNm </w:t>
        </w:r>
      </w:hyperlink>
      <w:r w:rsidRPr="007C0C91">
        <w:rPr>
          <w:sz w:val="27"/>
          <w:szCs w:val="27"/>
          <w:lang w:eastAsia="es-AR"/>
        </w:rPr>
        <w:t xml:space="preserve">que codifica para una región de la proteína S del SARS-CoV-2 rodeado por nanopartículas de lípidos indujo un buen nivel de anticuerpos neutralizantes contra el virus y una buena respuesta celular en ratones y primates no humanos. La vacuna candidata </w:t>
      </w:r>
      <w:proofErr w:type="spellStart"/>
      <w:r w:rsidRPr="007C0C91">
        <w:rPr>
          <w:sz w:val="27"/>
          <w:szCs w:val="27"/>
          <w:lang w:eastAsia="es-AR"/>
        </w:rPr>
        <w:t>ARCoV</w:t>
      </w:r>
      <w:proofErr w:type="spellEnd"/>
      <w:r w:rsidRPr="007C0C91">
        <w:rPr>
          <w:sz w:val="27"/>
          <w:szCs w:val="27"/>
          <w:lang w:eastAsia="es-AR"/>
        </w:rPr>
        <w:t>, desarrollada por un equipo chino, puede almacenarse a temperatura ambiente al menos una semana. Actualmente se está evaluando en ensayos clínicos de fase 1.</w:t>
      </w:r>
      <w:r w:rsidRPr="007C0C91">
        <w:rPr>
          <w:color w:val="1D1D1D"/>
          <w:sz w:val="27"/>
          <w:szCs w:val="27"/>
          <w:lang w:eastAsia="es-AR"/>
        </w:rPr>
        <w:t> </w:t>
      </w:r>
    </w:p>
    <w:p w14:paraId="3C3001C8" w14:textId="77777777" w:rsidR="007C0C91" w:rsidRDefault="007C0C91"/>
    <w:sectPr w:rsidR="007C0C91" w:rsidSect="004A185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17" w:right="1325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E4A0F" w14:textId="77777777" w:rsidR="00CC761A" w:rsidRDefault="00CC761A" w:rsidP="000A11BD">
      <w:pPr>
        <w:spacing w:after="0" w:line="240" w:lineRule="auto"/>
      </w:pPr>
      <w:r>
        <w:separator/>
      </w:r>
    </w:p>
  </w:endnote>
  <w:endnote w:type="continuationSeparator" w:id="0">
    <w:p w14:paraId="69ACE700" w14:textId="77777777" w:rsidR="00CC761A" w:rsidRDefault="00CC761A" w:rsidP="000A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EC3A" w14:textId="77777777" w:rsidR="000A11BD" w:rsidRDefault="000A11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91CDD" w14:textId="77777777" w:rsidR="000A11BD" w:rsidRDefault="000A11B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AE4FC" w14:textId="77777777" w:rsidR="000A11BD" w:rsidRDefault="000A11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15B13" w14:textId="77777777" w:rsidR="00CC761A" w:rsidRDefault="00CC761A" w:rsidP="000A11BD">
      <w:pPr>
        <w:spacing w:after="0" w:line="240" w:lineRule="auto"/>
      </w:pPr>
      <w:r>
        <w:separator/>
      </w:r>
    </w:p>
  </w:footnote>
  <w:footnote w:type="continuationSeparator" w:id="0">
    <w:p w14:paraId="2F462B77" w14:textId="77777777" w:rsidR="00CC761A" w:rsidRDefault="00CC761A" w:rsidP="000A1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33D2B" w14:textId="77777777" w:rsidR="000A11BD" w:rsidRDefault="00CC761A">
    <w:pPr>
      <w:pStyle w:val="Encabezado"/>
    </w:pPr>
    <w:r>
      <w:rPr>
        <w:noProof/>
      </w:rPr>
      <w:pict w14:anchorId="13EF4F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1407" o:spid="_x0000_s2050" type="#_x0000_t136" style="position:absolute;margin-left:0;margin-top:0;width:606.9pt;height:42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alizado por Barone . Computación Transversal Nivel I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62829" w14:textId="77777777" w:rsidR="000A11BD" w:rsidRDefault="00CC761A">
    <w:pPr>
      <w:pStyle w:val="Encabezado"/>
    </w:pPr>
    <w:r>
      <w:rPr>
        <w:noProof/>
      </w:rPr>
      <w:pict w14:anchorId="5EDA5D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1408" o:spid="_x0000_s2051" type="#_x0000_t136" style="position:absolute;margin-left:0;margin-top:0;width:606.9pt;height:42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alizado por Barone . Computación Transversal Nivel I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93B3D" w14:textId="77777777" w:rsidR="000A11BD" w:rsidRDefault="00CC761A">
    <w:pPr>
      <w:pStyle w:val="Encabezado"/>
    </w:pPr>
    <w:r>
      <w:rPr>
        <w:noProof/>
      </w:rPr>
      <w:pict w14:anchorId="7A50B4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1406" o:spid="_x0000_s2049" type="#_x0000_t136" style="position:absolute;margin-left:0;margin-top:0;width:606.9pt;height:42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alizado por Barone . Computación Transversal Nivel I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C91"/>
    <w:rsid w:val="000A11BD"/>
    <w:rsid w:val="003E3F58"/>
    <w:rsid w:val="004A185A"/>
    <w:rsid w:val="007A357E"/>
    <w:rsid w:val="007C0C91"/>
    <w:rsid w:val="00B42A7A"/>
    <w:rsid w:val="00CC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EA0D086"/>
  <w15:chartTrackingRefBased/>
  <w15:docId w15:val="{6BA5487B-B3A6-48CD-AD10-F485D3DC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C0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C0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0C9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C0C9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7C0C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7C0C9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C0C9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0A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1BD"/>
  </w:style>
  <w:style w:type="paragraph" w:styleId="Piedepgina">
    <w:name w:val="footer"/>
    <w:basedOn w:val="Normal"/>
    <w:link w:val="PiedepginaCar"/>
    <w:uiPriority w:val="99"/>
    <w:unhideWhenUsed/>
    <w:rsid w:val="000A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1BD"/>
  </w:style>
  <w:style w:type="character" w:customStyle="1" w:styleId="Ttulo1Car">
    <w:name w:val="Título 1 Car"/>
    <w:basedOn w:val="Fuentedeprrafopredeter"/>
    <w:link w:val="Ttulo1"/>
    <w:uiPriority w:val="9"/>
    <w:rsid w:val="00B42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42A7A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42A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2A7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42A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chi/article/PIIS2352-4642(20)30235-2/fulltext" TargetMode="External"/><Relationship Id="rId13" Type="http://schemas.openxmlformats.org/officeDocument/2006/relationships/hyperlink" Target="https://jamanetwork.com/journals/jamacardiology/fullarticle/2768916" TargetMode="External"/><Relationship Id="rId18" Type="http://schemas.openxmlformats.org/officeDocument/2006/relationships/hyperlink" Target="https://www.nejm.org/doi/full/10.1056/NEJMoa2019014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nature.com/articles/s41586-020-2575-3" TargetMode="External"/><Relationship Id="rId7" Type="http://schemas.openxmlformats.org/officeDocument/2006/relationships/hyperlink" Target="https://www.nature.com/articles/s41564-020-0771-4" TargetMode="External"/><Relationship Id="rId12" Type="http://schemas.openxmlformats.org/officeDocument/2006/relationships/hyperlink" Target="https://www.cdc.gov/mmwr/volumes/69/wr/mm6930e1.htm?s_cid=mm6930e1_w" TargetMode="External"/><Relationship Id="rId17" Type="http://schemas.openxmlformats.org/officeDocument/2006/relationships/hyperlink" Target="https://science.sciencemag.org/content/sci/early/2020/07/22/science.abc5881.full.pd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nature.com/articles/s41586-020-2598-9" TargetMode="External"/><Relationship Id="rId20" Type="http://schemas.openxmlformats.org/officeDocument/2006/relationships/hyperlink" Target="https://www.nature.com/articles/s41586-020-2558-4_reference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aho.org/en/news/21-7-2020-three-out-10-people-americas-are-increased-risk-severe-covid-19-because-underlying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biorxiv.org/content/10.1101/2020.05.14.095414v2.full.pdf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pnas.org/content/pnas/early/2020/07/27/2006824117.full.pdf" TargetMode="External"/><Relationship Id="rId19" Type="http://schemas.openxmlformats.org/officeDocument/2006/relationships/hyperlink" Target="https://www.medrxiv.org/content/10.1101/2020.07.15.20151852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rosurveillance.org/content/10.2807/1560-7917.ES.2020.25.29.2001352" TargetMode="External"/><Relationship Id="rId14" Type="http://schemas.openxmlformats.org/officeDocument/2006/relationships/hyperlink" Target="https://www.nature.com/articles/s41598-020-68862-x" TargetMode="External"/><Relationship Id="rId22" Type="http://schemas.openxmlformats.org/officeDocument/2006/relationships/hyperlink" Target="https://www.nature.com/articles/s41586-020-2558-4_reference.pdf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47201-28D0-4A22-A4A7-F5CA7878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1343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Andrea Barone</dc:creator>
  <cp:keywords/>
  <dc:description/>
  <cp:lastModifiedBy>Lean Alonso</cp:lastModifiedBy>
  <cp:revision>3</cp:revision>
  <dcterms:created xsi:type="dcterms:W3CDTF">2020-11-09T12:01:00Z</dcterms:created>
  <dcterms:modified xsi:type="dcterms:W3CDTF">2020-11-09T12:02:00Z</dcterms:modified>
</cp:coreProperties>
</file>