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7ADA" w14:textId="77777777" w:rsidR="0036059D" w:rsidRPr="0036059D" w:rsidRDefault="0036059D" w:rsidP="0036059D">
      <w:pP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Lic. Gestión de la Tecnología – Legislación aplicada a la tecnología</w:t>
      </w:r>
    </w:p>
    <w:p w14:paraId="79B5DC34" w14:textId="77777777" w:rsidR="0036059D" w:rsidRPr="0036059D" w:rsidRDefault="0036059D" w:rsidP="0036059D">
      <w:pP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Escuela de Formación Continua – UNLaM</w:t>
      </w:r>
    </w:p>
    <w:p w14:paraId="50CD9D04" w14:textId="77777777" w:rsidR="0036059D" w:rsidRPr="0036059D" w:rsidRDefault="0036059D" w:rsidP="0036059D">
      <w:pPr>
        <w:pBdr>
          <w:bottom w:val="single" w:sz="6" w:space="1" w:color="auto"/>
        </w:pBd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Primer cuatrimestre 2025</w:t>
      </w:r>
    </w:p>
    <w:p w14:paraId="7B0D9278" w14:textId="77777777" w:rsidR="0036059D" w:rsidRPr="0036059D" w:rsidRDefault="0036059D" w:rsidP="0036059D">
      <w:pP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  <w:t xml:space="preserve">TRABAJO PRÁCTICO DE ENTREGA OBLIGATORIA </w:t>
      </w:r>
    </w:p>
    <w:p w14:paraId="52B8F4A3" w14:textId="3FFEBBB5" w:rsidR="0036059D" w:rsidRPr="0036059D" w:rsidRDefault="0036059D" w:rsidP="0036059D">
      <w:pP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  <w:t xml:space="preserve">UNIDAD </w:t>
      </w:r>
      <w:r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  <w:t>5</w:t>
      </w:r>
    </w:p>
    <w:p w14:paraId="1C8DF28D" w14:textId="77777777" w:rsidR="0036059D" w:rsidRPr="0036059D" w:rsidRDefault="0036059D" w:rsidP="0036059D">
      <w:pPr>
        <w:spacing w:before="120" w:after="120" w:line="360" w:lineRule="auto"/>
        <w:jc w:val="center"/>
        <w:rPr>
          <w:rFonts w:ascii="Arial" w:eastAsia="Calibri" w:hAnsi="Arial" w:cs="Arial"/>
          <w:b/>
          <w:kern w:val="0"/>
          <w:sz w:val="24"/>
          <w:szCs w:val="24"/>
          <w:u w:val="single"/>
          <w:lang w:val="es-ES"/>
          <w14:ligatures w14:val="none"/>
        </w:rPr>
      </w:pPr>
    </w:p>
    <w:p w14:paraId="0C9EBCD4" w14:textId="77777777" w:rsidR="0036059D" w:rsidRPr="0036059D" w:rsidRDefault="0036059D" w:rsidP="0036059D">
      <w:pPr>
        <w:spacing w:before="120" w:after="120" w:line="360" w:lineRule="auto"/>
        <w:jc w:val="both"/>
        <w:rPr>
          <w:rFonts w:ascii="Arial" w:eastAsia="Arial" w:hAnsi="Arial" w:cs="Arial"/>
          <w:kern w:val="0"/>
          <w:sz w:val="24"/>
          <w:szCs w:val="24"/>
          <w:lang w:val="es-AR"/>
          <w14:ligatures w14:val="none"/>
        </w:rPr>
      </w:pPr>
      <w:r w:rsidRPr="0036059D">
        <w:rPr>
          <w:rFonts w:ascii="Arial" w:eastAsia="Arial" w:hAnsi="Arial" w:cs="Arial"/>
          <w:b/>
          <w:kern w:val="0"/>
          <w:sz w:val="24"/>
          <w:szCs w:val="24"/>
          <w:lang w:val="es-AR"/>
          <w14:ligatures w14:val="none"/>
        </w:rPr>
        <w:t xml:space="preserve">Trabajo grupal y colaborativo: </w:t>
      </w:r>
      <w:r w:rsidRPr="0036059D">
        <w:rPr>
          <w:rFonts w:ascii="Arial" w:eastAsia="Arial" w:hAnsi="Arial" w:cs="Arial"/>
          <w:kern w:val="0"/>
          <w:sz w:val="24"/>
          <w:szCs w:val="24"/>
          <w:lang w:val="es-AR"/>
          <w14:ligatures w14:val="none"/>
        </w:rPr>
        <w:t xml:space="preserve">Deberán entregarlo a través de la herramienta Portafolios de la Plataforma </w:t>
      </w:r>
      <w:proofErr w:type="spellStart"/>
      <w:r w:rsidRPr="0036059D">
        <w:rPr>
          <w:rFonts w:ascii="Arial" w:eastAsia="Arial" w:hAnsi="Arial" w:cs="Arial"/>
          <w:kern w:val="0"/>
          <w:sz w:val="24"/>
          <w:szCs w:val="24"/>
          <w:lang w:val="es-AR"/>
          <w14:ligatures w14:val="none"/>
        </w:rPr>
        <w:t>MIeL</w:t>
      </w:r>
      <w:proofErr w:type="spellEnd"/>
      <w:r w:rsidRPr="0036059D">
        <w:rPr>
          <w:rFonts w:ascii="Arial" w:eastAsia="Arial" w:hAnsi="Arial" w:cs="Arial"/>
          <w:kern w:val="0"/>
          <w:sz w:val="24"/>
          <w:szCs w:val="24"/>
          <w:lang w:val="es-AR"/>
          <w14:ligatures w14:val="none"/>
        </w:rPr>
        <w:t>, indicando que es una entrega grupal.</w:t>
      </w:r>
    </w:p>
    <w:p w14:paraId="40BECDEF" w14:textId="1C667B1C" w:rsidR="0036059D" w:rsidRPr="0036059D" w:rsidRDefault="0036059D" w:rsidP="0036059D">
      <w:pPr>
        <w:spacing w:before="120" w:after="120" w:line="360" w:lineRule="auto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Fecha límite de entrega:</w:t>
      </w: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17/06/2025</w:t>
      </w:r>
    </w:p>
    <w:p w14:paraId="5957F807" w14:textId="587F4AA9" w:rsidR="0036059D" w:rsidRPr="0036059D" w:rsidRDefault="0036059D" w:rsidP="0036059D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Formato de entrega:</w:t>
      </w: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Deberán entregar en formato PDF, aclarando en el documento los nombres, apellido y DNI de cada uno de los integrantes del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</w:t>
      </w: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grupo.</w:t>
      </w:r>
    </w:p>
    <w:p w14:paraId="1ED2FBB0" w14:textId="77777777" w:rsidR="0036059D" w:rsidRPr="0036059D" w:rsidRDefault="0036059D" w:rsidP="0036059D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/>
          <w:kern w:val="0"/>
          <w:sz w:val="24"/>
          <w:szCs w:val="24"/>
          <w:lang w:val="es-ES"/>
          <w14:ligatures w14:val="none"/>
        </w:rPr>
        <w:t>Consignas:</w:t>
      </w: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En base al material de clase proporcionado, desarrollar los siguientes puntos. Las consignas deben ser respondidas mediante el debate entre los integrantes del grupo, luego de la lectura del material o bibliografía.</w:t>
      </w:r>
    </w:p>
    <w:p w14:paraId="1F0E4BEE" w14:textId="77777777" w:rsidR="0036059D" w:rsidRPr="0036059D" w:rsidRDefault="0036059D" w:rsidP="0036059D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Las respuestas deben ser de elaboración propia, no copiadas textual del material ni de lo extraído en consulta con utilización de IA.</w:t>
      </w:r>
    </w:p>
    <w:p w14:paraId="0283BDC2" w14:textId="77777777" w:rsidR="0036059D" w:rsidRPr="0036059D" w:rsidRDefault="0036059D" w:rsidP="0036059D">
      <w:pPr>
        <w:spacing w:before="120" w:after="120" w:line="360" w:lineRule="auto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</w:p>
    <w:p w14:paraId="13137C38" w14:textId="3B58B7C8" w:rsidR="0036059D" w:rsidRPr="0036059D" w:rsidRDefault="0036059D" w:rsidP="0036059D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1) 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Generar una presentación en la plataforma 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que ustedes consideren 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más adecuada a su criterio (en cuanto a prestaciones modernas) donde se resuman y aborden la totalidad de los temas de la unidad.</w:t>
      </w:r>
    </w:p>
    <w:p w14:paraId="6F9EDCB7" w14:textId="295C22CD" w:rsidR="00FC4761" w:rsidRDefault="0036059D" w:rsidP="002B3399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 w:rsidRPr="0036059D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2) </w:t>
      </w:r>
      <w:proofErr w:type="gramStart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Preguntarle</w:t>
      </w:r>
      <w:proofErr w:type="gramEnd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a tres sistemas de I.A.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diferentes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respecto de al menos dos conceptos vertidos en la unidad (a elección suya), o pedirle que 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lastRenderedPageBreak/>
        <w:t>resuelva situaciones hipotéticas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que les planteen relacionadas al temario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. Una vez hecho esto, verificar si la respuesta brindada por las 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inteligencias artificiales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tiene correlación con el material de estudio y 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en su caso 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marcar los errores que encuentren. Deberán describir el proceso realizado</w:t>
      </w:r>
      <w:r w:rsidR="002B3399"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y cuál de las IA fue la más precisa a su entender</w:t>
      </w: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.</w:t>
      </w:r>
    </w:p>
    <w:p w14:paraId="3A635AB3" w14:textId="6B17F41A" w:rsidR="00A03B0B" w:rsidRDefault="00A03B0B" w:rsidP="002B3399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Temas:</w:t>
      </w:r>
    </w:p>
    <w:p w14:paraId="5AA95610" w14:textId="77777777" w:rsidR="00A03B0B" w:rsidRPr="00A03B0B" w:rsidRDefault="00A03B0B" w:rsidP="00A03B0B">
      <w:pPr>
        <w:numPr>
          <w:ilvl w:val="0"/>
          <w:numId w:val="1"/>
        </w:num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Consentimiento en los contratos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: manifestación, requisitos (discernimiento, intención, libertad), aceptación tácita, silencio.</w:t>
      </w:r>
    </w:p>
    <w:p w14:paraId="2D577E41" w14:textId="77777777" w:rsidR="00A03B0B" w:rsidRPr="00A03B0B" w:rsidRDefault="00A03B0B" w:rsidP="00A03B0B">
      <w:pPr>
        <w:numPr>
          <w:ilvl w:val="0"/>
          <w:numId w:val="1"/>
        </w:num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Contratos electrónicos o a distancia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: validez legal, medios electrónicos, derecho de revocación.</w:t>
      </w:r>
    </w:p>
    <w:p w14:paraId="1093404F" w14:textId="77777777" w:rsidR="00A03B0B" w:rsidRPr="00A03B0B" w:rsidRDefault="00A03B0B" w:rsidP="00A03B0B">
      <w:pPr>
        <w:numPr>
          <w:ilvl w:val="0"/>
          <w:numId w:val="1"/>
        </w:num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Cláusulas abusivas en contratos de adhesión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: su nulidad, interpretación en favor del consumidor.</w:t>
      </w:r>
    </w:p>
    <w:p w14:paraId="42873F12" w14:textId="77777777" w:rsidR="00A03B0B" w:rsidRDefault="00A03B0B" w:rsidP="002B3399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</w:p>
    <w:p w14:paraId="179821F7" w14:textId="0787934D" w:rsidR="00A03B0B" w:rsidRDefault="00A03B0B" w:rsidP="00BE026A">
      <w:pPr>
        <w:pStyle w:val="Ttulo3"/>
        <w:rPr>
          <w:rFonts w:eastAsia="Calibri"/>
          <w:lang w:val="es-ES"/>
        </w:rPr>
      </w:pPr>
      <w:r>
        <w:rPr>
          <w:rFonts w:eastAsia="Calibri"/>
          <w:lang w:val="es-ES"/>
        </w:rPr>
        <w:t>[Chat GPT]</w:t>
      </w:r>
    </w:p>
    <w:p w14:paraId="3B18D442" w14:textId="187AFB5D" w:rsidR="00A03B0B" w:rsidRDefault="00A03B0B" w:rsidP="002B3399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Segun</w:t>
      </w:r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Código Civil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Comercial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primera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situación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plantea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caso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una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persona que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compra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un software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internet y, luego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descargarlo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desea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cancelar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operación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;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segunda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refiere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 un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contrato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confusas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donde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consumidor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no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pudo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negociar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términos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Los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conceptos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analizados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fueron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contratos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celebrados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distancia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mediante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medios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electrónicos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(arts. 1105 a 1116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CCyCN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)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contratos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adhesión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con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abusivas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(arts. 984 a 988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CCyCN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). Se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evaluó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las IA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consultadas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reconocen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derecho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consumidor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revocar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aceptación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dentro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diez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días,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obligación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proveedor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informar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manera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clara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y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nulidad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que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limiten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derechos. Se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contrastaron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sus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respuestas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material de la Unidad 5,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verificando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correcta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aplicación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normativa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interpretación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favor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consumidor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principio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buena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fe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Esto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lastRenderedPageBreak/>
        <w:t>permitió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determinar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cuál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las IAs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brindó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respuestas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más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ajustadas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al derecho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vigente</w:t>
      </w:r>
      <w:proofErr w:type="spellEnd"/>
    </w:p>
    <w:p w14:paraId="401DF618" w14:textId="36C87964" w:rsidR="00A03B0B" w:rsidRDefault="00A03B0B" w:rsidP="00BE026A">
      <w:pPr>
        <w:pStyle w:val="Ttulo3"/>
        <w:rPr>
          <w:rFonts w:eastAsia="Calibri"/>
        </w:rPr>
      </w:pPr>
      <w:r>
        <w:rPr>
          <w:rFonts w:eastAsia="Calibri"/>
        </w:rPr>
        <w:t>[</w:t>
      </w:r>
      <w:proofErr w:type="spellStart"/>
      <w:r>
        <w:rPr>
          <w:rFonts w:eastAsia="Calibri"/>
        </w:rPr>
        <w:t>NotebookLM</w:t>
      </w:r>
      <w:proofErr w:type="spellEnd"/>
      <w:r>
        <w:rPr>
          <w:rFonts w:eastAsia="Calibri"/>
        </w:rPr>
        <w:t>]</w:t>
      </w:r>
    </w:p>
    <w:p w14:paraId="1FBB8EE4" w14:textId="6B03A306" w:rsidR="00A03B0B" w:rsidRPr="00A03B0B" w:rsidRDefault="00A03B0B" w:rsidP="00A03B0B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El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consentimiento en contratos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es un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acto jurídico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que se configura mediante la manifestación de voluntad de dos o más partes. Esta voluntad debe ser un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acto voluntario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, es decir, ejecutado con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discernimiento, intención y libertad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..., y manifestado por un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hecho exteriorizado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. Puede ser oral, escrito, por signos o hechos materiales, no requiriendo siempre formalidad escrita para su validez. El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silencio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no es manifestación de voluntad, salvo si existe un deber de expedirse (por ley, voluntad de partes, usos o relación con declaraciones previas)</w:t>
      </w:r>
      <w:r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.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Se consideran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actos involuntarios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los de quien está privado de razón o menores de diez/trece años, según el tipo de acto.</w:t>
      </w:r>
    </w:p>
    <w:p w14:paraId="7965755A" w14:textId="2E97C045" w:rsidR="00A03B0B" w:rsidRPr="00A03B0B" w:rsidRDefault="00A03B0B" w:rsidP="00A03B0B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Los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contratos electrónicos o a distancia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se definen por concluirse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sin la presencia física simultánea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de las partes, empleando medios de comunicación remotos. El requisito de que conste por escrito se satisface con un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soporte electrónico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. El proveedor debe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informar detalladamente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al consumidor sobre el correcto uso del medio, sus riesgos, y un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derecho irrenunciable de revocación en diez días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desde la celebración o entrega del bien. Esta revocación no implica gastos y debe ser informada destacadamente; de no hacerlo, el </w:t>
      </w:r>
      <w:proofErr w:type="gramStart"/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derecho no caduca</w:t>
      </w:r>
      <w:proofErr w:type="gramEnd"/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. Existen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excepciones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 a este derecho, aplicables a productos personalizados, perecederos o ciertos programas informáticos ya decodificados</w:t>
      </w:r>
    </w:p>
    <w:p w14:paraId="4453E433" w14:textId="34158A4B" w:rsidR="00A03B0B" w:rsidRPr="00A03B0B" w:rsidRDefault="00A03B0B" w:rsidP="00A03B0B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Finalmente, en los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contratos de adhesión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, donde una parte adhiere a cláusulas predispuestas sin posibilidad de negociación, la redacción debe ser clara y no remitir a textos inaccesibles. Las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>cláusulas ambiguas se interpretan a favor del adherente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 xml:space="preserve">. Las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t xml:space="preserve">cláusulas </w:t>
      </w:r>
      <w:r w:rsidRPr="00A03B0B">
        <w:rPr>
          <w:rFonts w:ascii="Arial" w:eastAsia="Calibri" w:hAnsi="Arial" w:cs="Arial"/>
          <w:b/>
          <w:bCs/>
          <w:kern w:val="0"/>
          <w:sz w:val="24"/>
          <w:szCs w:val="24"/>
          <w:lang w:val="es-AR"/>
          <w14:ligatures w14:val="none"/>
        </w:rPr>
        <w:lastRenderedPageBreak/>
        <w:t>abusivas se tienen por no escritas</w:t>
      </w:r>
      <w:r w:rsidRPr="00A03B0B"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  <w:t>; esto incluye las que desnaturalizan obligaciones, restringen derechos o son imprevisibles por su redacción o contenido. Los jueces pueden anularlas e integrar el contrato para que conserve sentido.</w:t>
      </w:r>
    </w:p>
    <w:p w14:paraId="01072B4F" w14:textId="3561460D" w:rsidR="00A03B0B" w:rsidRDefault="00A03B0B" w:rsidP="00BE026A">
      <w:pPr>
        <w:pStyle w:val="Ttulo3"/>
        <w:rPr>
          <w:rFonts w:eastAsia="Calibri"/>
          <w:lang w:val="es-AR"/>
        </w:rPr>
      </w:pPr>
      <w:r>
        <w:rPr>
          <w:rFonts w:eastAsia="Calibri"/>
          <w:lang w:val="es-AR"/>
        </w:rPr>
        <w:t>[</w:t>
      </w:r>
      <w:proofErr w:type="spellStart"/>
      <w:r>
        <w:rPr>
          <w:rFonts w:eastAsia="Calibri"/>
          <w:lang w:val="es-AR"/>
        </w:rPr>
        <w:t>Copilot</w:t>
      </w:r>
      <w:proofErr w:type="spellEnd"/>
      <w:r>
        <w:rPr>
          <w:rFonts w:eastAsia="Calibri"/>
          <w:lang w:val="es-AR"/>
        </w:rPr>
        <w:t>]</w:t>
      </w:r>
    </w:p>
    <w:p w14:paraId="1559FDAD" w14:textId="6FCF8958" w:rsidR="00A03B0B" w:rsidRPr="00A03B0B" w:rsidRDefault="00A03B0B" w:rsidP="00A03B0B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AR"/>
          <w14:ligatures w14:val="none"/>
        </w:rPr>
      </w:pPr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Los </w:t>
      </w:r>
      <w:proofErr w:type="spellStart"/>
      <w:r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</w:t>
      </w:r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ontratos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celebrados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distancia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abusivas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primera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situación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trató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sobre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compra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online de un software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ejercicio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del derecho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revocación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Se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analizó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las IA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reconocían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plazo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diez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días y las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excepciones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legales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previstas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Código Civil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Comercial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(arts. 1105-1116).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segunda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situación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expuso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un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contrato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confusas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perjuicio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consumidor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lo que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permitió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evaluar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detección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abusivas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contratos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adhesión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(arts. 984-988). Las IA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fueron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evaluadas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según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su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precisión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normativa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claridad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respeto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al principio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buena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fe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Dos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mencionaron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correctamente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derechos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consumidor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aunque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una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omitió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límite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legal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productos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digitales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En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el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segundo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caso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solo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una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explicó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nulidad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cláusulas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que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limitan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derechos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esenciales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y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obligación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proveedor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informar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Comparando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 la Unidad 5, se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concluyó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que la IA que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citó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normas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específicas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distinguió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excepciones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y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aplicó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criterios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protectores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fue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la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más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precisa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. El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ejercicio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permitió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contrastar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conocimientos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jurídicos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con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respuestas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automatizadas</w:t>
      </w:r>
      <w:proofErr w:type="spellEnd"/>
      <w:r w:rsidRPr="00A03B0B">
        <w:rPr>
          <w:rFonts w:ascii="Arial" w:eastAsia="Calibri" w:hAnsi="Arial" w:cs="Arial"/>
          <w:bCs/>
          <w:kern w:val="0"/>
          <w:sz w:val="24"/>
          <w:szCs w:val="24"/>
          <w14:ligatures w14:val="none"/>
        </w:rPr>
        <w:t>.</w:t>
      </w:r>
    </w:p>
    <w:p w14:paraId="5E1DEB6B" w14:textId="1984FF53" w:rsidR="00A03B0B" w:rsidRDefault="00BE026A" w:rsidP="00BE026A">
      <w:pPr>
        <w:pStyle w:val="Ttulo2"/>
        <w:rPr>
          <w:rFonts w:eastAsia="Calibri"/>
          <w:lang w:val="es-ES"/>
        </w:rPr>
      </w:pPr>
      <w:r>
        <w:rPr>
          <w:rFonts w:eastAsia="Calibri"/>
          <w:lang w:val="es-ES"/>
        </w:rPr>
        <w:t>[Conclusión]</w:t>
      </w:r>
    </w:p>
    <w:p w14:paraId="2CEAD4D6" w14:textId="19A2800F" w:rsidR="00BE026A" w:rsidRPr="002B3399" w:rsidRDefault="00BE026A" w:rsidP="002B3399">
      <w:pPr>
        <w:spacing w:before="120" w:after="120" w:line="360" w:lineRule="auto"/>
        <w:jc w:val="both"/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</w:pPr>
      <w:proofErr w:type="spellStart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Despues</w:t>
      </w:r>
      <w:proofErr w:type="spellEnd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de que analicemos las 3 </w:t>
      </w:r>
      <w:proofErr w:type="spellStart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IAs</w:t>
      </w:r>
      <w:proofErr w:type="spellEnd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, creemos que son competentes en los conceptos en el material de estudio. Ven de forma adecuada sobre el </w:t>
      </w:r>
      <w:proofErr w:type="spellStart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>Codigo</w:t>
      </w:r>
      <w:proofErr w:type="spellEnd"/>
      <w:r>
        <w:rPr>
          <w:rFonts w:ascii="Arial" w:eastAsia="Calibri" w:hAnsi="Arial" w:cs="Arial"/>
          <w:bCs/>
          <w:kern w:val="0"/>
          <w:sz w:val="24"/>
          <w:szCs w:val="24"/>
          <w:lang w:val="es-ES"/>
          <w14:ligatures w14:val="none"/>
        </w:rPr>
        <w:t xml:space="preserve"> Civil y Comercial, entendiendo bien los contratos. Las respuestas se entienden y con principios legales vigentes</w:t>
      </w:r>
    </w:p>
    <w:sectPr w:rsidR="00BE026A" w:rsidRPr="002B3399" w:rsidSect="00166295">
      <w:pgSz w:w="11906" w:h="16838" w:code="9"/>
      <w:pgMar w:top="2835" w:right="1701" w:bottom="141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2484C"/>
    <w:multiLevelType w:val="multilevel"/>
    <w:tmpl w:val="E06E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3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9D"/>
    <w:rsid w:val="00166295"/>
    <w:rsid w:val="002B3399"/>
    <w:rsid w:val="002C776D"/>
    <w:rsid w:val="0036059D"/>
    <w:rsid w:val="004257E1"/>
    <w:rsid w:val="005B49B9"/>
    <w:rsid w:val="00A03B0B"/>
    <w:rsid w:val="00A2210E"/>
    <w:rsid w:val="00BE026A"/>
    <w:rsid w:val="00F75B58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A930"/>
  <w15:chartTrackingRefBased/>
  <w15:docId w15:val="{D68F83B5-BE7B-4E33-8898-C8F97DFD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0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5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605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6059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59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59D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5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59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5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59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6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5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5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36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59D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360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5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59D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360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945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DOWNAR</dc:creator>
  <cp:keywords/>
  <dc:description/>
  <cp:lastModifiedBy>ALONSO LEANDRO MATIAS</cp:lastModifiedBy>
  <cp:revision>2</cp:revision>
  <dcterms:created xsi:type="dcterms:W3CDTF">2025-06-10T21:41:00Z</dcterms:created>
  <dcterms:modified xsi:type="dcterms:W3CDTF">2025-06-24T22:29:00Z</dcterms:modified>
</cp:coreProperties>
</file>