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Exo 2" w:cs="Exo 2" w:eastAsia="Exo 2" w:hAnsi="Exo 2"/>
          <w:b/>
          <w:bCs/>
          <w:i w:val="false"/>
          <w:iCs w:val="false"/>
          <w:color w:val="002060"/>
          <w:sz w:val="20"/>
          <w:szCs w:val="20"/>
        </w:rPr>
        <w:t xml:space="preserve">FENASBAC TI  |  Relatório de Projetos e Sistemas · Sprint S19</w:t>
      </w:r>
    </w:p>
    <w:p>
      <w:pPr>
        <w:spacing w:after="40"/>
        <w:jc w:val="center"/>
      </w:pPr>
      <w:r>
        <w:rPr>
          <w:rFonts w:ascii="Exo 2" w:cs="Exo 2" w:eastAsia="Exo 2" w:hAnsi="Exo 2"/>
          <w:b/>
          <w:bCs/>
          <w:i w:val="false"/>
          <w:iCs w:val="false"/>
          <w:color w:val="0225EB"/>
          <w:sz w:val="32"/>
          <w:szCs w:val="32"/>
        </w:rPr>
        <w:t xml:space="preserve">RELATÓRIO DE PROJETOS E SISTEMAS — TI</w:t>
      </w:r>
    </w:p>
    <w:p>
      <w:pPr>
        <w:spacing/>
        <w:jc w:val="center"/>
      </w:pPr>
      <w:r>
        <w:rPr>
          <w:rFonts w:ascii="Exo 2" w:cs="Exo 2" w:eastAsia="Exo 2" w:hAnsi="Exo 2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Sprint S19 · 14/09/2026 – 28/09/2026</w:t>
      </w:r>
    </w:p>
    <w:p>
      <w:pPr>
        <w:spacing/>
        <w:jc w:val="center"/>
      </w:pPr>
      <w:r>
        <w:rPr>
          <w:rFonts w:ascii="Exo 2" w:cs="Exo 2" w:eastAsia="Exo 2" w:hAnsi="Exo 2"/>
          <w:b w:val="false"/>
          <w:bCs w:val="false"/>
          <w:i w:val="false"/>
          <w:iCs w:val="false"/>
          <w:color w:val="595959"/>
          <w:sz w:val="20"/>
          <w:szCs w:val="20"/>
        </w:rPr>
        <w:t xml:space="preserve">Próxima Sprint: S20 · 28/09/2026 – 12/10/2026</w:t>
      </w:r>
    </w:p>
    <w:p>
      <w:pPr>
        <w:spacing w:after="120"/>
        <w:jc w:val="center"/>
      </w:pPr>
      <w:r>
        <w:rPr>
          <w:rFonts w:ascii="Exo 2" w:cs="Exo 2" w:eastAsia="Exo 2" w:hAnsi="Exo 2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Coordenação de TI — Lenita Costa · 28/09/2026</w:t>
      </w:r>
    </w:p>
    <w:p>
      <w:pPr>
        <w:shd w:fill="002060" w:val="clear"/>
        <w:spacing w:after="120" w:before="240"/>
      </w:pPr>
      <w:r>
        <w:rPr>
          <w:rFonts w:ascii="Exo 2" w:cs="Exo 2" w:eastAsia="Exo 2" w:hAnsi="Exo 2"/>
          <w:b/>
          <w:bCs/>
          <w:color w:val="FFFFFF"/>
          <w:sz w:val="24"/>
          <w:szCs w:val="24"/>
        </w:rPr>
        <w:t xml:space="preserve">  1.  SUMÁRIO EXECUTIVO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A Sprint S19 (14/09 a 28/09/2026) encerrou com 22 entregas concluídas entre os 50 itens movimentados em onze frentes. A sprint foi marcada por um forte trabalho de governança e segurança, com destaque para a correção de configurações críticas de acesso e a consolidação de documentos estruturantes. Destaques do período: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Em uma frase: foi uma sprint de fundação. O maior esforço esteve em governança e segurança (a correção de um furo de assentos pagos no Atlassian, a matriz de responsabilidades sobre plataformas e a consolidação do termo do Conecta com o jurídico), acompanhado da entrega de acesso remoto seguro por área (VPN e VNC) e da evolução do dashboard do Conecta. O detalhamento de cada frente está na seção 4.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Ponto de atenção da sprint: a Onda 1 do NordPass no Financeiro avançou na preparação (participantes, licenças, permissões), mas a execução com os usuários depende do treinamento agendado para 30/09. A frente de padronização dos boards do Jira foi planejada em detalhe e inicia na próxima sprint.</w:t>
      </w:r>
    </w:p>
    <w:p>
      <w:pPr>
        <w:shd w:fill="002060" w:val="clear"/>
        <w:spacing w:after="120" w:before="240"/>
      </w:pPr>
      <w:r>
        <w:rPr>
          <w:rFonts w:ascii="Exo 2" w:cs="Exo 2" w:eastAsia="Exo 2" w:hAnsi="Exo 2"/>
          <w:b/>
          <w:bCs/>
          <w:color w:val="FFFFFF"/>
          <w:sz w:val="24"/>
          <w:szCs w:val="24"/>
        </w:rPr>
        <w:t xml:space="preserve">  2.  STATUS GERAL DAS OPERAÇÕES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EF2FF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0225EB"/>
                <w:sz w:val="30"/>
                <w:szCs w:val="30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Exo 2" w:cs="Exo 2" w:eastAsia="Exo 2" w:hAnsi="Exo 2"/>
                <w:color w:val="595959"/>
                <w:sz w:val="16"/>
                <w:szCs w:val="16"/>
              </w:rPr>
              <w:t xml:space="preserve">Entregas concluídas</w:t>
            </w:r>
          </w:p>
        </w:tc>
        <w:tc>
          <w:tcPr>
            <w:tcW w:type="pct" w:w="20%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EF2FF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0225EB"/>
                <w:sz w:val="30"/>
                <w:szCs w:val="30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Exo 2" w:cs="Exo 2" w:eastAsia="Exo 2" w:hAnsi="Exo 2"/>
                <w:color w:val="595959"/>
                <w:sz w:val="16"/>
                <w:szCs w:val="16"/>
              </w:rPr>
              <w:t xml:space="preserve">Chamados SDesk</w:t>
            </w:r>
          </w:p>
        </w:tc>
        <w:tc>
          <w:tcPr>
            <w:tcW w:type="pct" w:w="20%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EF2FF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0225EB"/>
                <w:sz w:val="30"/>
                <w:szCs w:val="30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Exo 2" w:cs="Exo 2" w:eastAsia="Exo 2" w:hAnsi="Exo 2"/>
                <w:color w:val="595959"/>
                <w:sz w:val="16"/>
                <w:szCs w:val="16"/>
              </w:rPr>
              <w:t xml:space="preserve">Frentes</w:t>
            </w:r>
          </w:p>
        </w:tc>
        <w:tc>
          <w:tcPr>
            <w:tcW w:type="pct" w:w="20%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EF2FF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0225EB"/>
                <w:sz w:val="30"/>
                <w:szCs w:val="30"/>
              </w:rPr>
              <w:t xml:space="preserve">71%</w:t>
            </w:r>
          </w:p>
          <w:p>
            <w:pPr>
              <w:jc w:val="center"/>
            </w:pPr>
            <w:r>
              <w:rPr>
                <w:rFonts w:ascii="Exo 2" w:cs="Exo 2" w:eastAsia="Exo 2" w:hAnsi="Exo 2"/>
                <w:color w:val="595959"/>
                <w:sz w:val="16"/>
                <w:szCs w:val="16"/>
              </w:rPr>
              <w:t xml:space="preserve">Chamados resolvidos</w:t>
            </w:r>
          </w:p>
        </w:tc>
        <w:tc>
          <w:tcPr>
            <w:tcW w:type="pct" w:w="20%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EEF2FF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Exo 2" w:cs="Exo 2" w:eastAsia="Exo 2" w:hAnsi="Exo 2"/>
                <w:b/>
                <w:bCs/>
                <w:color w:val="0225EB"/>
                <w:sz w:val="30"/>
                <w:szCs w:val="30"/>
              </w:rPr>
              <w:t xml:space="preserve">05/10</w:t>
            </w:r>
          </w:p>
          <w:p>
            <w:pPr>
              <w:jc w:val="center"/>
            </w:pPr>
            <w:r>
              <w:rPr>
                <w:rFonts w:ascii="Exo 2" w:cs="Exo 2" w:eastAsia="Exo 2" w:hAnsi="Exo 2"/>
                <w:color w:val="595959"/>
                <w:sz w:val="16"/>
                <w:szCs w:val="16"/>
              </w:rPr>
              <w:t xml:space="preserve">Onboarding André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Dos 50 itens da sprint, 22 foram concluídos. Boa parte dos itens em aberto é trabalho estrutural de ciclo longo puxado para a sprint (a padronização dos boards do Jira, com nove subtarefas, e as etapas finais da Onda 1 do NordPass, que dependem do treinamento). O que estava previsto para fechar como execução fechou, com destaque para a governança de acessos, o Conecta e o TechOps.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No atendimento, o Service Desk registrou 28 chamados no período, com 20 concluídos dentro da sprint (71%). Os chamados em aberto estão, na maioria, em andamento ou bloqueados por dependência de terceiros (a implementação do site Lift Learning e o reajuste do seguro de vida), com o status Bloqueado pausando o SLA nesses casos. Não houve incidente crítico não tratado no período.</w:t>
      </w:r>
    </w:p>
    <w:p>
      <w:pPr>
        <w:shd w:fill="002060" w:val="clear"/>
        <w:spacing w:after="120" w:before="240"/>
      </w:pPr>
      <w:r>
        <w:rPr>
          <w:rFonts w:ascii="Exo 2" w:cs="Exo 2" w:eastAsia="Exo 2" w:hAnsi="Exo 2"/>
          <w:b/>
          <w:bCs/>
          <w:color w:val="FFFFFF"/>
          <w:sz w:val="24"/>
          <w:szCs w:val="24"/>
        </w:rPr>
        <w:t xml:space="preserve">  3.  DISTRIBUIÇÃO DO ESFORÇO POR FRENTE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A distribuição do esforço da TI por frente, com base nas entregas concluídas no período, para dar visibilidade de onde a área investiu o seu tempo.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Frente</w:t>
            </w:r>
          </w:p>
        </w:tc>
        <w:tc>
          <w:tcPr>
            <w:tcW w:type="pct" w:w="16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Entregas</w:t>
            </w:r>
          </w:p>
        </w:tc>
        <w:tc>
          <w:tcPr>
            <w:tcW w:type="pct" w:w="50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7"/>
                <w:szCs w:val="17"/>
              </w:rPr>
              <w:t xml:space="preserve">Distribuição do esforço</w:t>
            </w:r>
          </w:p>
        </w:tc>
      </w:tr>
      <w:tr>
        <w:tc>
          <w:tcPr>
            <w:tcW w:type="pct" w:w="3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9"/>
                <w:szCs w:val="19"/>
              </w:rPr>
              <w:t xml:space="preserve">Processos / Governança</w:t>
            </w:r>
          </w:p>
        </w:tc>
        <w:tc>
          <w:tcPr>
            <w:tcW w:type="pct" w:w="1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7  (32%)</w:t>
            </w:r>
          </w:p>
        </w:tc>
        <w:tc>
          <w:tcPr>
            <w:tcW w:type="pct" w:w="50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Exo 2" w:cs="Exo 2" w:eastAsia="Exo 2" w:hAnsi="Exo 2"/>
                <w:color w:val="0225EB"/>
                <w:sz w:val="18"/>
                <w:szCs w:val="18"/>
              </w:rPr>
              <w:t xml:space="preserve">██████░░░░░░░░░░░░░░</w:t>
            </w:r>
          </w:p>
        </w:tc>
      </w:tr>
      <w:tr>
        <w:tc>
          <w:tcPr>
            <w:tcW w:type="pct" w:w="3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9"/>
                <w:szCs w:val="19"/>
              </w:rPr>
              <w:t xml:space="preserve">Conecta</w:t>
            </w:r>
          </w:p>
        </w:tc>
        <w:tc>
          <w:tcPr>
            <w:tcW w:type="pct" w:w="1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4  (18%)</w:t>
            </w:r>
          </w:p>
        </w:tc>
        <w:tc>
          <w:tcPr>
            <w:tcW w:type="pct" w:w="50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Exo 2" w:cs="Exo 2" w:eastAsia="Exo 2" w:hAnsi="Exo 2"/>
                <w:color w:val="0225EB"/>
                <w:sz w:val="18"/>
                <w:szCs w:val="18"/>
              </w:rPr>
              <w:t xml:space="preserve">████░░░░░░░░░░░░░░░░</w:t>
            </w:r>
          </w:p>
        </w:tc>
      </w:tr>
      <w:tr>
        <w:tc>
          <w:tcPr>
            <w:tcW w:type="pct" w:w="3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9"/>
                <w:szCs w:val="19"/>
              </w:rPr>
              <w:t xml:space="preserve">TechOps (VPN/VNC)</w:t>
            </w:r>
          </w:p>
        </w:tc>
        <w:tc>
          <w:tcPr>
            <w:tcW w:type="pct" w:w="1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4  (18%)</w:t>
            </w:r>
          </w:p>
        </w:tc>
        <w:tc>
          <w:tcPr>
            <w:tcW w:type="pct" w:w="50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Exo 2" w:cs="Exo 2" w:eastAsia="Exo 2" w:hAnsi="Exo 2"/>
                <w:color w:val="0225EB"/>
                <w:sz w:val="18"/>
                <w:szCs w:val="18"/>
              </w:rPr>
              <w:t xml:space="preserve">████░░░░░░░░░░░░░░░░</w:t>
            </w:r>
          </w:p>
        </w:tc>
      </w:tr>
      <w:tr>
        <w:tc>
          <w:tcPr>
            <w:tcW w:type="pct" w:w="3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9"/>
                <w:szCs w:val="19"/>
              </w:rPr>
              <w:t xml:space="preserve">Outras frentes</w:t>
            </w:r>
          </w:p>
        </w:tc>
        <w:tc>
          <w:tcPr>
            <w:tcW w:type="pct" w:w="1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3  (14%)</w:t>
            </w:r>
          </w:p>
        </w:tc>
        <w:tc>
          <w:tcPr>
            <w:tcW w:type="pct" w:w="50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Exo 2" w:cs="Exo 2" w:eastAsia="Exo 2" w:hAnsi="Exo 2"/>
                <w:color w:val="0225EB"/>
                <w:sz w:val="18"/>
                <w:szCs w:val="18"/>
              </w:rPr>
              <w:t xml:space="preserve">███░░░░░░░░░░░░░░░░░</w:t>
            </w:r>
          </w:p>
        </w:tc>
      </w:tr>
      <w:tr>
        <w:tc>
          <w:tcPr>
            <w:tcW w:type="pct" w:w="3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9"/>
                <w:szCs w:val="19"/>
              </w:rPr>
              <w:t xml:space="preserve">FenasHub</w:t>
            </w:r>
          </w:p>
        </w:tc>
        <w:tc>
          <w:tcPr>
            <w:tcW w:type="pct" w:w="1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2  (9%)</w:t>
            </w:r>
          </w:p>
        </w:tc>
        <w:tc>
          <w:tcPr>
            <w:tcW w:type="pct" w:w="50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Exo 2" w:cs="Exo 2" w:eastAsia="Exo 2" w:hAnsi="Exo 2"/>
                <w:color w:val="0225EB"/>
                <w:sz w:val="18"/>
                <w:szCs w:val="18"/>
              </w:rPr>
              <w:t xml:space="preserve">██░░░░░░░░░░░░░░░░░░</w:t>
            </w:r>
          </w:p>
        </w:tc>
      </w:tr>
      <w:tr>
        <w:tc>
          <w:tcPr>
            <w:tcW w:type="pct" w:w="3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9"/>
                <w:szCs w:val="19"/>
              </w:rPr>
              <w:t xml:space="preserve">Site Fenasbac.br</w:t>
            </w:r>
          </w:p>
        </w:tc>
        <w:tc>
          <w:tcPr>
            <w:tcW w:type="pct" w:w="1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8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2  (9%)</w:t>
            </w:r>
          </w:p>
        </w:tc>
        <w:tc>
          <w:tcPr>
            <w:tcW w:type="pct" w:w="50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rFonts w:ascii="Exo 2" w:cs="Exo 2" w:eastAsia="Exo 2" w:hAnsi="Exo 2"/>
                <w:color w:val="0225EB"/>
                <w:sz w:val="18"/>
                <w:szCs w:val="18"/>
              </w:rPr>
              <w:t xml:space="preserve">██░░░░░░░░░░░░░░░░░░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Leitura da sprint: o esforço se concentrou em Processos e Governança (a maior fatia, com a correção do Atlassian, a matriz de responsabilidades e o termo do Conecta), seguido do Conecta e do TechOps. As frentes de plataforma e IA aparecem com poucas entregas fechadas porque tiveram, neste período, mais trabalho de definição e alinhamento do que de execução mecânica.</w:t>
      </w:r>
    </w:p>
    <w:p>
      <w:pPr>
        <w:shd w:fill="002060" w:val="clear"/>
        <w:spacing w:after="120" w:before="240"/>
      </w:pPr>
      <w:r>
        <w:rPr>
          <w:rFonts w:ascii="Exo 2" w:cs="Exo 2" w:eastAsia="Exo 2" w:hAnsi="Exo 2"/>
          <w:b/>
          <w:bCs/>
          <w:color w:val="FFFFFF"/>
          <w:sz w:val="24"/>
          <w:szCs w:val="24"/>
        </w:rPr>
        <w:t xml:space="preserve">  4.  DETALHAMENTO POR PROJETO</w:t>
      </w:r>
    </w:p>
    <w:p>
      <w:pPr>
        <w:spacing w:after="60" w:before="180"/>
      </w:pPr>
      <w:r>
        <w:rPr>
          <w:rFonts w:ascii="Exo 2" w:cs="Exo 2" w:eastAsia="Exo 2" w:hAnsi="Exo 2"/>
          <w:b/>
          <w:bCs/>
          <w:color w:val="0225EB"/>
          <w:sz w:val="23"/>
          <w:szCs w:val="23"/>
        </w:rPr>
        <w:t xml:space="preserve">4.1 Governança e Segurança de Acessos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Frente de maior peso da sprint. Foi identificada e corrigida uma configuração da organização Atlassian que concedia automaticamente assentos pagos (Jira, Confluence e agente do Service Desk) a qualquer novo usuário do domínio, um furo de custo e de segurança. A correção foi aplicada na origem e verificada como prospectiva, sem remover acesso de nenhum usuário atual. Foi também consolidada a Matriz de Responsabilidades sobre Plataformas, definindo o que é responsabilidade da TI e o que é da área, por categoria de ferramenta.</w:t>
      </w:r>
    </w:p>
    <w:p>
      <w:pPr>
        <w:spacing w:after="60" w:before="180"/>
      </w:pPr>
      <w:r>
        <w:rPr>
          <w:rFonts w:ascii="Exo 2" w:cs="Exo 2" w:eastAsia="Exo 2" w:hAnsi="Exo 2"/>
          <w:b/>
          <w:bCs/>
          <w:color w:val="0225EB"/>
          <w:sz w:val="23"/>
          <w:szCs w:val="23"/>
        </w:rPr>
        <w:t xml:space="preserve">4.2 Conecta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Foram concluídas a maior granularidade das informações no dashboard, a exportação de dados por perfil com governança, e a análise e auditoria dos casos de validação manual do Clube F, que gerou o diagnóstico da causa raiz: a base de sócios contribuintes não veio nas planilhas das regionais na integração. Foi liberado o acesso de ponto focal para o auditor Tadeu acompanhar. O Termo de Adesão foi consolidado com o retorno do jurídico e da auditoria e aprovado pela Diretoria; o próximo passo é o envio aos diretores executivos das regionais.</w:t>
      </w:r>
    </w:p>
    <w:p>
      <w:pPr>
        <w:spacing w:after="60" w:before="180"/>
      </w:pPr>
      <w:r>
        <w:rPr>
          <w:rFonts w:ascii="Exo 2" w:cs="Exo 2" w:eastAsia="Exo 2" w:hAnsi="Exo 2"/>
          <w:b/>
          <w:bCs/>
          <w:color w:val="0225EB"/>
          <w:sz w:val="23"/>
          <w:szCs w:val="23"/>
        </w:rPr>
        <w:t xml:space="preserve">4.3 TechOps e Infraestrutura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Concluída a implementação de VPN e VNC para o acesso remoto seguro das áreas de Inovação Aberta, Parcerias Estratégicas e Consultoria/Gestão. A frente de acesso remoto por área segue o roteiro setor a setor definido no início do ciclo.</w:t>
      </w:r>
    </w:p>
    <w:p>
      <w:pPr>
        <w:spacing w:after="60" w:before="180"/>
      </w:pPr>
      <w:r>
        <w:rPr>
          <w:rFonts w:ascii="Exo 2" w:cs="Exo 2" w:eastAsia="Exo 2" w:hAnsi="Exo 2"/>
          <w:b/>
          <w:bCs/>
          <w:color w:val="0225EB"/>
          <w:sz w:val="23"/>
          <w:szCs w:val="23"/>
        </w:rPr>
        <w:t xml:space="preserve">4.4 FenasHub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Avançaram o estudo de comportamento dos filtros do Airtable para replicação e a inclusão do vínculo institucional no formulário. O modelo de perguntas de governança do FenasHub foi disponibilizado às áreas para preenchimento, como insumo para fechar a política de acesso.</w:t>
      </w:r>
    </w:p>
    <w:p>
      <w:pPr>
        <w:spacing w:after="60" w:before="180"/>
      </w:pPr>
      <w:r>
        <w:rPr>
          <w:rFonts w:ascii="Exo 2" w:cs="Exo 2" w:eastAsia="Exo 2" w:hAnsi="Exo 2"/>
          <w:b/>
          <w:bCs/>
          <w:color w:val="0225EB"/>
          <w:sz w:val="23"/>
          <w:szCs w:val="23"/>
        </w:rPr>
        <w:t xml:space="preserve">4.5 Site Fenasbac.br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Foram entregues novos blocos da página comemorativa dos 60 anos: o grid de selos e ícones e o bloco de vídeo, dando continuidade à evolução da página institucional.</w:t>
      </w:r>
    </w:p>
    <w:p>
      <w:pPr>
        <w:spacing w:after="60" w:before="180"/>
      </w:pPr>
      <w:r>
        <w:rPr>
          <w:rFonts w:ascii="Exo 2" w:cs="Exo 2" w:eastAsia="Exo 2" w:hAnsi="Exo 2"/>
          <w:b/>
          <w:bCs/>
          <w:color w:val="0225EB"/>
          <w:sz w:val="23"/>
          <w:szCs w:val="23"/>
        </w:rPr>
        <w:t xml:space="preserve">4.6 NordPass — Onda 1 Financeiro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A Onda 1 do NordPass no Financeiro avançou na preparação: definição dos participantes e da ordem das áreas, validação e ativação das licenças, e organização das permissões por menor privilégio. As etapas de execução com os usuários (envio de convites, ativação de MFA, migração de senhas e treinamento) estão programadas a partir do treinamento inicial, agendado para 30/09.</w:t>
      </w:r>
    </w:p>
    <w:p>
      <w:pPr>
        <w:spacing w:after="60" w:before="180"/>
      </w:pPr>
      <w:r>
        <w:rPr>
          <w:rFonts w:ascii="Exo 2" w:cs="Exo 2" w:eastAsia="Exo 2" w:hAnsi="Exo 2"/>
          <w:b/>
          <w:bCs/>
          <w:color w:val="0225EB"/>
          <w:sz w:val="23"/>
          <w:szCs w:val="23"/>
        </w:rPr>
        <w:t xml:space="preserve">4.7 Fenasbac IA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O próximo passo definido é o alinhamento com a Diretoria sobre o escopo da PoC junto à startup. Os demais desdobramentos permanecem no backlog até esse alinhamento.</w:t>
      </w:r>
    </w:p>
    <w:p>
      <w:pPr>
        <w:spacing w:after="60" w:before="180"/>
      </w:pPr>
      <w:r>
        <w:rPr>
          <w:rFonts w:ascii="Exo 2" w:cs="Exo 2" w:eastAsia="Exo 2" w:hAnsi="Exo 2"/>
          <w:b/>
          <w:bCs/>
          <w:color w:val="0225EB"/>
          <w:sz w:val="23"/>
          <w:szCs w:val="23"/>
        </w:rPr>
        <w:t xml:space="preserve">4.8 Analytics</w:t>
      </w:r>
    </w:p>
    <w:p>
      <w:pPr>
        <w:spacing w:after="120"/>
        <w:jc w:val="both"/>
      </w:pPr>
      <w:r>
        <w:rPr>
          <w:rFonts w:ascii="Exo 2" w:cs="Exo 2" w:eastAsia="Exo 2" w:hAnsi="Exo 2"/>
          <w:color w:val="1A1A1A"/>
          <w:sz w:val="24"/>
          <w:szCs w:val="24"/>
        </w:rPr>
        <w:t xml:space="preserve">Avançou o entendimento de como capturar os dados de comportamento da área logada do Fenasbac.com.br, insumo para o dashboard de métricas do funil, que segue em construção.</w:t>
      </w:r>
    </w:p>
    <w:p>
      <w:pPr>
        <w:shd w:fill="002060" w:val="clear"/>
        <w:spacing w:after="120" w:before="240"/>
      </w:pPr>
      <w:r>
        <w:rPr>
          <w:rFonts w:ascii="Exo 2" w:cs="Exo 2" w:eastAsia="Exo 2" w:hAnsi="Exo 2"/>
          <w:b/>
          <w:bCs/>
          <w:color w:val="FFFFFF"/>
          <w:sz w:val="24"/>
          <w:szCs w:val="24"/>
        </w:rPr>
        <w:t xml:space="preserve">  5.  PONTOS DE ATENÇÃO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Ponto de atenção</w:t>
            </w:r>
          </w:p>
        </w:tc>
        <w:tc>
          <w:tcPr>
            <w:tcW w:type="pct" w:w="36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pct" w:w="32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Dependência / Ação</w:t>
            </w:r>
          </w:p>
        </w:tc>
      </w:tr>
      <w:tr>
        <w:tc>
          <w:tcPr>
            <w:tcW w:type="pct" w:w="3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Onda 1 NordPass — execução</w:t>
            </w:r>
          </w:p>
        </w:tc>
        <w:tc>
          <w:tcPr>
            <w:tcW w:type="pct" w:w="3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Migração de senhas não iniciou</w:t>
            </w:r>
          </w:p>
        </w:tc>
        <w:tc>
          <w:tcPr>
            <w:tcW w:type="pct" w:w="3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Treinamento com o Financeiro em 30/09</w:t>
            </w:r>
          </w:p>
        </w:tc>
      </w:tr>
      <w:tr>
        <w:tc>
          <w:tcPr>
            <w:tcW w:type="pct" w:w="3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Base de sócios contribuintes</w:t>
            </w:r>
          </w:p>
        </w:tc>
        <w:tc>
          <w:tcPr>
            <w:tcW w:type="pct" w:w="3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Alto volume de validação manual no Clube F</w:t>
            </w:r>
          </w:p>
        </w:tc>
        <w:tc>
          <w:tcPr>
            <w:tcW w:type="pct" w:w="3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Recoleta com as regionais; conversa de integração via API (Diretoria)</w:t>
            </w:r>
          </w:p>
        </w:tc>
      </w:tr>
      <w:tr>
        <w:tc>
          <w:tcPr>
            <w:tcW w:type="pct" w:w="3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Site Lift Learning (SDesk)</w:t>
            </w:r>
          </w:p>
        </w:tc>
        <w:tc>
          <w:tcPr>
            <w:tcW w:type="pct" w:w="3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Implementação parada</w:t>
            </w:r>
          </w:p>
        </w:tc>
        <w:tc>
          <w:tcPr>
            <w:tcW w:type="pct" w:w="3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Bloqueado por dependência externa</w:t>
            </w:r>
          </w:p>
        </w:tc>
      </w:tr>
      <w:tr>
        <w:tc>
          <w:tcPr>
            <w:tcW w:type="pct" w:w="3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Padronização dos boards Jira</w:t>
            </w:r>
          </w:p>
        </w:tc>
        <w:tc>
          <w:tcPr>
            <w:tcW w:type="pct" w:w="3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Status e workflow ainda heterogêneos</w:t>
            </w:r>
          </w:p>
        </w:tc>
        <w:tc>
          <w:tcPr>
            <w:tcW w:type="pct" w:w="3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Frente planejada; inicia na S20</w:t>
            </w:r>
          </w:p>
        </w:tc>
      </w:tr>
      <w:tr>
        <w:tc>
          <w:tcPr>
            <w:tcW w:type="pct" w:w="3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Termo de Adesão do Conecta</w:t>
            </w:r>
          </w:p>
        </w:tc>
        <w:tc>
          <w:tcPr>
            <w:tcW w:type="pct" w:w="36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Aprovado; pronto para envio</w:t>
            </w:r>
          </w:p>
        </w:tc>
        <w:tc>
          <w:tcPr>
            <w:tcW w:type="pct" w:w="32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Enviar aos diretores executivos das regionais</w:t>
            </w:r>
          </w:p>
        </w:tc>
      </w:tr>
    </w:tbl>
    <w:p>
      <w:pPr>
        <w:spacing w:after="80" w:before="200"/>
      </w:pPr>
      <w:r>
        <w:rPr>
          <w:rFonts w:ascii="Exo 2" w:cs="Exo 2" w:eastAsia="Exo 2" w:hAnsi="Exo 2"/>
          <w:b/>
          <w:bCs/>
          <w:color w:val="0225EB"/>
          <w:sz w:val="24"/>
          <w:szCs w:val="24"/>
        </w:rPr>
        <w:t xml:space="preserve">Compromissos para a S20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pct" w:w="58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Compromisso</w:t>
            </w:r>
          </w:p>
        </w:tc>
        <w:tc>
          <w:tcPr>
            <w:tcW w:type="pct" w:w="18%"/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Exo 2" w:cs="Exo 2" w:eastAsia="Exo 2" w:hAnsi="Exo 2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pct" w:w="2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NordPass</w:t>
            </w:r>
          </w:p>
        </w:tc>
        <w:tc>
          <w:tcPr>
            <w:tcW w:type="pct" w:w="5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Executar a Onda 1 do Financeiro após o treinamento de 30/09 (convites, MFA, migração de senhas, suporte)</w:t>
            </w:r>
          </w:p>
        </w:tc>
        <w:tc>
          <w:tcPr>
            <w:tcW w:type="pct" w:w="1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Coordenação / Infra</w:t>
            </w:r>
          </w:p>
        </w:tc>
      </w:tr>
      <w:tr>
        <w:tc>
          <w:tcPr>
            <w:tcW w:type="pct" w:w="2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Onboarding</w:t>
            </w:r>
          </w:p>
        </w:tc>
        <w:tc>
          <w:tcPr>
            <w:tcW w:type="pct" w:w="5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Executar o onboarding de TI do novo colaborador (início 05/10)</w:t>
            </w:r>
          </w:p>
        </w:tc>
        <w:tc>
          <w:tcPr>
            <w:tcW w:type="pct" w:w="1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Infra / Suporte</w:t>
            </w:r>
          </w:p>
        </w:tc>
      </w:tr>
      <w:tr>
        <w:tc>
          <w:tcPr>
            <w:tcW w:type="pct" w:w="2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Jira</w:t>
            </w:r>
          </w:p>
        </w:tc>
        <w:tc>
          <w:tcPr>
            <w:tcW w:type="pct" w:w="5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Iniciar a padronização de status e workflow dos boards de software</w:t>
            </w:r>
          </w:p>
        </w:tc>
        <w:tc>
          <w:tcPr>
            <w:tcW w:type="pct" w:w="1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Tech Lead / Coordenação</w:t>
            </w:r>
          </w:p>
        </w:tc>
      </w:tr>
      <w:tr>
        <w:tc>
          <w:tcPr>
            <w:tcW w:type="pct" w:w="2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FenasHub</w:t>
            </w:r>
          </w:p>
        </w:tc>
        <w:tc>
          <w:tcPr>
            <w:tcW w:type="pct" w:w="5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Consolidar a governança com o retorno das áreas e avançar a integração de dados</w:t>
            </w:r>
          </w:p>
        </w:tc>
        <w:tc>
          <w:tcPr>
            <w:tcW w:type="pct" w:w="1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Desenvolvimento / Coordenação</w:t>
            </w:r>
          </w:p>
        </w:tc>
      </w:tr>
      <w:tr>
        <w:tc>
          <w:tcPr>
            <w:tcW w:type="pct" w:w="2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Conecta</w:t>
            </w:r>
          </w:p>
        </w:tc>
        <w:tc>
          <w:tcPr>
            <w:tcW w:type="pct" w:w="5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Enviar o termo de adesão aos diretores executivos das regionais; tratar a recoleta dos contribuintes</w:t>
            </w:r>
          </w:p>
        </w:tc>
        <w:tc>
          <w:tcPr>
            <w:tcW w:type="pct" w:w="1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Coordenação</w:t>
            </w:r>
          </w:p>
        </w:tc>
      </w:tr>
      <w:tr>
        <w:tc>
          <w:tcPr>
            <w:tcW w:type="pct" w:w="2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Fenasbac IA</w:t>
            </w:r>
          </w:p>
        </w:tc>
        <w:tc>
          <w:tcPr>
            <w:tcW w:type="pct" w:w="5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Alinhar com a Diretoria o escopo da PoC da startup</w:t>
            </w:r>
          </w:p>
        </w:tc>
        <w:tc>
          <w:tcPr>
            <w:tcW w:type="pct" w:w="1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Coordenação</w:t>
            </w:r>
          </w:p>
        </w:tc>
      </w:tr>
      <w:tr>
        <w:tc>
          <w:tcPr>
            <w:tcW w:type="pct" w:w="2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Analytics</w:t>
            </w:r>
          </w:p>
        </w:tc>
        <w:tc>
          <w:tcPr>
            <w:tcW w:type="pct" w:w="5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Avançar o dashboard de métricas do funil (IO + Fenasbac.com.br)</w:t>
            </w:r>
          </w:p>
        </w:tc>
        <w:tc>
          <w:tcPr>
            <w:tcW w:type="pct" w:w="1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pct" w:w="2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QSentinel</w:t>
            </w:r>
          </w:p>
        </w:tc>
        <w:tc>
          <w:tcPr>
            <w:tcW w:type="pct" w:w="5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Iniciar os alinhamentos e o planejamento da PoC sobre a base histórica de programas, dentro da janela de três meses</w:t>
            </w:r>
          </w:p>
        </w:tc>
        <w:tc>
          <w:tcPr>
            <w:tcW w:type="pct" w:w="1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Coordenação / Tech Lead</w:t>
            </w:r>
          </w:p>
        </w:tc>
      </w:tr>
      <w:tr>
        <w:tc>
          <w:tcPr>
            <w:tcW w:type="pct" w:w="24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Strapi / Nexus</w:t>
            </w:r>
          </w:p>
        </w:tc>
        <w:tc>
          <w:tcPr>
            <w:tcW w:type="pct" w:w="5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Retomar a implementação do site do Nexus (board Strapi), após o período de espera, a partir do chamado da Comunicação</w:t>
            </w:r>
          </w:p>
        </w:tc>
        <w:tc>
          <w:tcPr>
            <w:tcW w:type="pct" w:w="18%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Exo 2" w:cs="Exo 2" w:eastAsia="Exo 2" w:hAnsi="Exo 2"/>
                <w:color w:val="1A1A1A"/>
                <w:sz w:val="18"/>
                <w:szCs w:val="18"/>
              </w:rPr>
              <w:t xml:space="preserve">Conteúdo / Desenvolvimento</w:t>
            </w:r>
          </w:p>
        </w:tc>
      </w:tr>
    </w:tbl>
    <w:p>
      <w:pPr>
        <w:spacing w:before="200"/>
      </w:pPr>
      <w:r>
        <w:rPr>
          <w:rFonts w:ascii="Exo 2" w:cs="Exo 2" w:eastAsia="Exo 2" w:hAnsi="Exo 2"/>
          <w:color w:val="595959"/>
          <w:sz w:val="18"/>
          <w:szCs w:val="18"/>
        </w:rPr>
        <w:t xml:space="preserve">28 de Setembro de 2026 · Versão 1.0</w:t>
      </w:r>
    </w:p>
    <w:p>
      <w:r>
        <w:rPr>
          <w:rFonts w:ascii="Exo 2" w:cs="Exo 2" w:eastAsia="Exo 2" w:hAnsi="Exo 2"/>
          <w:i/>
          <w:iCs/>
          <w:color w:val="595959"/>
          <w:sz w:val="16"/>
          <w:szCs w:val="16"/>
        </w:rPr>
        <w:t xml:space="preserve">Fontes: board da Sprint S19 no Jira · registro do Service Desk · registro operacional dos canais e das tarefas.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225EB" w:sz="6" w:space="1"/>
      </w:pBdr>
      <w:spacing w:before="40"/>
    </w:pPr>
    <w:r>
      <w:rPr>
        <w:rFonts w:ascii="Exo 2" w:cs="Exo 2" w:eastAsia="Exo 2" w:hAnsi="Exo 2"/>
        <w:color w:val="595959"/>
        <w:sz w:val="14"/>
        <w:szCs w:val="14"/>
      </w:rPr>
      <w:t xml:space="preserve">SBS Quadra 02, Bloco A, Ed. Casa de São Paulo, 7º andar — Brasília/DF   </w:t>
    </w:r>
    <w:r>
      <w:rPr>
        <w:rFonts w:ascii="Exo 2" w:cs="Exo 2" w:eastAsia="Exo 2" w:hAnsi="Exo 2"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66675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225EB" w:sz="12" w:space="1"/>
      </w:pBdr>
      <w:spacing w:after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xo 2" w:cs="Exo 2" w:eastAsia="Exo 2" w:hAnsi="Exo 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f9573ecedd0954ab06e0c1b8cfda3bba62c90c4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2026-09-28T20:21:17.119Z</dcterms:created>
  <dcterms:modified xsi:type="dcterms:W3CDTF">2026-09-28T20:21:17.129Z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