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Exo 2" w:cs="Exo 2" w:eastAsia="Exo 2" w:hAnsi="Exo 2"/>
          <w:b/>
          <w:bCs/>
          <w:color w:val="0225EB"/>
          <w:sz w:val="34"/>
          <w:szCs w:val="34"/>
        </w:rPr>
        <w:t xml:space="preserve">RELATÓRIO DE PROJETOS E SISTEMAS — TI</w:t>
      </w:r>
    </w:p>
    <w:p>
      <w:pPr>
        <w:spacing w:after="20"/>
      </w:pPr>
      <w:r>
        <w:rPr>
          <w:rFonts w:ascii="Exo 2" w:cs="Exo 2" w:eastAsia="Exo 2" w:hAnsi="Exo 2"/>
          <w:color w:val="002060"/>
          <w:sz w:val="20"/>
          <w:szCs w:val="20"/>
        </w:rPr>
        <w:t xml:space="preserve">Sprint S20 · 28/09 a 09/10 de 2026</w:t>
      </w:r>
    </w:p>
    <w:p>
      <w:pPr>
        <w:spacing w:after="20"/>
      </w:pPr>
      <w:r>
        <w:rPr>
          <w:rFonts w:ascii="Exo 2" w:cs="Exo 2" w:eastAsia="Exo 2" w:hAnsi="Exo 2"/>
          <w:color w:val="595959"/>
          <w:sz w:val="18"/>
          <w:szCs w:val="18"/>
        </w:rPr>
        <w:t xml:space="preserve">Próxima Sprint: S21 · 13/10 a 24/10 de 2026</w:t>
      </w:r>
    </w:p>
    <w:p>
      <w:pPr>
        <w:spacing w:after="160"/>
      </w:pPr>
      <w:r>
        <w:rPr>
          <w:rFonts w:ascii="Exo 2" w:cs="Exo 2" w:eastAsia="Exo 2" w:hAnsi="Exo 2"/>
          <w:color w:val="595959"/>
          <w:sz w:val="18"/>
          <w:szCs w:val="18"/>
        </w:rPr>
        <w:t xml:space="preserve">Coordenação de TI — Lenita Costa · 13/10/2026</w:t>
      </w:r>
    </w:p>
    <w:p>
      <w:pPr>
        <w:shd w:fill="0225EB" w:color="auto" w:val="clear"/>
        <w:spacing w:after="100" w:before="240"/>
      </w:pPr>
      <w:r>
        <w:rPr>
          <w:rFonts w:ascii="Exo 2" w:cs="Exo 2" w:eastAsia="Exo 2" w:hAnsi="Exo 2"/>
          <w:b/>
          <w:bCs/>
          <w:color w:val="FFFFFF"/>
          <w:sz w:val="22"/>
          <w:szCs w:val="22"/>
        </w:rPr>
        <w:t xml:space="preserve">1. SUMÁRIO EXECUTIVO</w:t>
      </w:r>
    </w:p>
    <w:p>
      <w:pPr>
        <w:spacing w:after="120" w:line="276"/>
      </w:pPr>
      <w:r>
        <w:rPr>
          <w:rFonts w:ascii="Exo 2" w:cs="Exo 2" w:eastAsia="Exo 2" w:hAnsi="Exo 2"/>
          <w:color w:val="222222"/>
          <w:sz w:val="20"/>
          <w:szCs w:val="20"/>
        </w:rPr>
        <w:t xml:space="preserve">A Sprint S20 encerrou com 68 entregas concluídas entre os 101 itens movimentados em 12 frentes, uma taxa de conclusão de 67%. A sprint foi marcada por forte execução técnica: a migração do SIS para a fenasync avançou com uma refatoração estrutural de arquitetura, e a infraestrutura entregou ganhos de continuidade, com destaque para a substituição de plataformas pagas de backup por uma solução própria e para a conclusão da autenticação da intranet.</w:t>
      </w:r>
    </w:p>
    <w:p>
      <w:pPr>
        <w:spacing w:after="120" w:line="276"/>
      </w:pPr>
      <w:r>
        <w:rPr>
          <w:rFonts w:ascii="Exo 2" w:cs="Exo 2" w:eastAsia="Exo 2" w:hAnsi="Exo 2"/>
          <w:color w:val="222222"/>
          <w:sz w:val="20"/>
          <w:szCs w:val="20"/>
        </w:rPr>
        <w:t xml:space="preserve">Em uma frase: foi uma sprint de peso técnico, puxada pela migração de dados e pela infraestrutura, enquanto o frontend concluiu quase todas as suas entregas mas esbarrou na validação da Comunicação, e a frente de reporting executivo não saiu do lugar.</w:t>
      </w:r>
    </w:p>
    <w:p>
      <w:pPr>
        <w:spacing w:after="120" w:line="276"/>
      </w:pPr>
      <w:r>
        <w:rPr>
          <w:rFonts w:ascii="Exo 2" w:cs="Exo 2" w:eastAsia="Exo 2" w:hAnsi="Exo 2"/>
          <w:color w:val="222222"/>
          <w:sz w:val="20"/>
          <w:szCs w:val="20"/>
        </w:rPr>
        <w:t xml:space="preserve">Ponto de atenção da sprint: o roadmap de indicadores e ciclos de report ficou em zero entregas de cinco itens, e a adesão das regionais ao Conecta segue travada em dependência externa, com Brasília e Curitiba ainda sem assinar, o que será escalado.</w:t>
      </w:r>
    </w:p>
    <w:p>
      <w:pPr>
        <w:shd w:fill="0225EB" w:color="auto" w:val="clear"/>
        <w:spacing w:after="100" w:before="240"/>
      </w:pPr>
      <w:r>
        <w:rPr>
          <w:rFonts w:ascii="Exo 2" w:cs="Exo 2" w:eastAsia="Exo 2" w:hAnsi="Exo 2"/>
          <w:b/>
          <w:bCs/>
          <w:color w:val="FFFFFF"/>
          <w:sz w:val="22"/>
          <w:szCs w:val="22"/>
        </w:rPr>
        <w:t xml:space="preserve">2. STATUS GERAL DAS OPERAÇÕES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1"/>
        <w:gridCol w:w="1747"/>
        <w:gridCol w:w="1359"/>
        <w:gridCol w:w="1747"/>
        <w:gridCol w:w="2912"/>
      </w:tblGrid>
      <w:tr>
        <w:trPr>
          <w:tblHeader/>
        </w:trPr>
        <w:tc>
          <w:tcPr>
            <w:tcW w:type="pct" w:w="1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0225E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8"/>
                <w:szCs w:val="18"/>
              </w:rPr>
              <w:t xml:space="preserve">Entregas concluídas</w:t>
            </w:r>
          </w:p>
        </w:tc>
        <w:tc>
          <w:tcPr>
            <w:tcW w:type="pct" w:w="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0225E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8"/>
                <w:szCs w:val="18"/>
              </w:rPr>
              <w:t xml:space="preserve">Chamados SDesk</w:t>
            </w:r>
          </w:p>
        </w:tc>
        <w:tc>
          <w:tcPr>
            <w:tcW w:type="pct" w:w="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0225E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8"/>
                <w:szCs w:val="18"/>
              </w:rPr>
              <w:t xml:space="preserve">Frentes</w:t>
            </w:r>
          </w:p>
        </w:tc>
        <w:tc>
          <w:tcPr>
            <w:tcW w:type="pct" w:w="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0225E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8"/>
                <w:szCs w:val="18"/>
              </w:rPr>
              <w:t xml:space="preserve">Chamados resolvidos</w:t>
            </w:r>
          </w:p>
        </w:tc>
        <w:tc>
          <w:tcPr>
            <w:tcW w:type="pct" w:w="1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0225E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8"/>
                <w:szCs w:val="18"/>
              </w:rPr>
              <w:t xml:space="preserve">Marco da sprint</w:t>
            </w:r>
          </w:p>
        </w:tc>
      </w:tr>
      <w:tr>
        <w:tc>
          <w:tcPr>
            <w:tcW w:type="pct" w:w="1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68</w:t>
            </w:r>
          </w:p>
        </w:tc>
        <w:tc>
          <w:tcPr>
            <w:tcW w:type="pct" w:w="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type="pct" w:w="7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pct" w:w="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71%</w:t>
            </w:r>
          </w:p>
        </w:tc>
        <w:tc>
          <w:tcPr>
            <w:tcW w:type="pct" w:w="1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Migração SIS e handover de certificados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Exo 2" w:cs="Exo 2" w:eastAsia="Exo 2" w:hAnsi="Exo 2"/>
          <w:color w:val="222222"/>
          <w:sz w:val="20"/>
          <w:szCs w:val="20"/>
        </w:rPr>
        <w:t xml:space="preserve">Dos 101 itens movimentados no board da sprint, 68 foram concluídos (67%) e 33 seguem para a S21 como carryover, concentrados na governança de boards, no Conecta e no roadmap de reporting. A migração de dados e a infraestrutura responderam pela maior fatia das entregas.</w:t>
      </w:r>
    </w:p>
    <w:p>
      <w:pPr>
        <w:spacing w:after="120" w:line="276"/>
      </w:pPr>
      <w:r>
        <w:rPr>
          <w:rFonts w:ascii="Exo 2" w:cs="Exo 2" w:eastAsia="Exo 2" w:hAnsi="Exo 2"/>
          <w:color w:val="222222"/>
          <w:sz w:val="20"/>
          <w:szCs w:val="20"/>
        </w:rPr>
        <w:t xml:space="preserve">No Service Desk, foram 21 chamados abertos na janela, com 15 resolvidos (71%). Dois chamados permanecem com status Bloqueado, o que pausa o SLA: a solicitação de celulares para a equipe de São Paulo e um pedido de teclado, ambos dependentes de aquisição. Não houve incidente crítico não tratado no período.</w:t>
      </w:r>
    </w:p>
    <w:p>
      <w:pPr>
        <w:shd w:fill="0225EB" w:color="auto" w:val="clear"/>
        <w:spacing w:after="100" w:before="240"/>
      </w:pPr>
      <w:r>
        <w:rPr>
          <w:rFonts w:ascii="Exo 2" w:cs="Exo 2" w:eastAsia="Exo 2" w:hAnsi="Exo 2"/>
          <w:b/>
          <w:bCs/>
          <w:color w:val="FFFFFF"/>
          <w:sz w:val="22"/>
          <w:szCs w:val="22"/>
        </w:rPr>
        <w:t xml:space="preserve">3. DISTRIBUIÇÃO DO ESFORÇO POR FRENTE</w:t>
      </w:r>
    </w:p>
    <w:p>
      <w:pPr>
        <w:spacing w:after="120" w:line="276"/>
      </w:pPr>
      <w:r>
        <w:rPr>
          <w:rFonts w:ascii="Exo 2" w:cs="Exo 2" w:eastAsia="Exo 2" w:hAnsi="Exo 2"/>
          <w:color w:val="222222"/>
          <w:sz w:val="20"/>
          <w:szCs w:val="20"/>
        </w:rPr>
        <w:t xml:space="preserve">A leitura abaixo considera as 68 entregas concluídas no board da sprint, agrupando as frentes menores em Outras frentes.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8"/>
        <w:gridCol w:w="1747"/>
        <w:gridCol w:w="4271"/>
      </w:tblGrid>
      <w:tr>
        <w:trPr>
          <w:tblHeader/>
        </w:trPr>
        <w:tc>
          <w:tcPr>
            <w:tcW w:type="pct" w:w="1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0225E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8"/>
                <w:szCs w:val="18"/>
              </w:rPr>
              <w:t xml:space="preserve">Frente</w:t>
            </w:r>
          </w:p>
        </w:tc>
        <w:tc>
          <w:tcPr>
            <w:tcW w:type="pct" w:w="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0225E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8"/>
                <w:szCs w:val="18"/>
              </w:rPr>
              <w:t xml:space="preserve">Entregas</w:t>
            </w:r>
          </w:p>
        </w:tc>
        <w:tc>
          <w:tcPr>
            <w:tcW w:type="pct" w:w="2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0225E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8"/>
                <w:szCs w:val="18"/>
              </w:rPr>
              <w:t xml:space="preserve">Distribuição do esforço</w:t>
            </w:r>
          </w:p>
        </w:tc>
      </w:tr>
      <w:tr>
        <w:tc>
          <w:tcPr>
            <w:tcW w:type="pct" w:w="1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Migração SIS (fenasync)</w:t>
            </w:r>
          </w:p>
        </w:tc>
        <w:tc>
          <w:tcPr>
            <w:tcW w:type="pct" w:w="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19 · 28%</w:t>
            </w:r>
          </w:p>
        </w:tc>
        <w:tc>
          <w:tcPr>
            <w:tcW w:type="pct" w:w="2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██████░░░░░░░░░░░░</w:t>
            </w:r>
          </w:p>
        </w:tc>
      </w:tr>
      <w:tr>
        <w:tc>
          <w:tcPr>
            <w:tcW w:type="pct" w:w="1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Governança de boards e processos</w:t>
            </w:r>
          </w:p>
        </w:tc>
        <w:tc>
          <w:tcPr>
            <w:tcW w:type="pct" w:w="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18 · 26%</w:t>
            </w:r>
          </w:p>
        </w:tc>
        <w:tc>
          <w:tcPr>
            <w:tcW w:type="pct" w:w="2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█████░░░░░░░░░░░░░</w:t>
            </w:r>
          </w:p>
        </w:tc>
      </w:tr>
      <w:tr>
        <w:tc>
          <w:tcPr>
            <w:tcW w:type="pct" w:w="1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Adesão das regionais (Conecta)</w:t>
            </w:r>
          </w:p>
        </w:tc>
        <w:tc>
          <w:tcPr>
            <w:tcW w:type="pct" w:w="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10 · 15%</w:t>
            </w:r>
          </w:p>
        </w:tc>
        <w:tc>
          <w:tcPr>
            <w:tcW w:type="pct" w:w="2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███░░░░░░░░░░░░░░░</w:t>
            </w:r>
          </w:p>
        </w:tc>
      </w:tr>
      <w:tr>
        <w:tc>
          <w:tcPr>
            <w:tcW w:type="pct" w:w="1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Portal e intranet</w:t>
            </w:r>
          </w:p>
        </w:tc>
        <w:tc>
          <w:tcPr>
            <w:tcW w:type="pct" w:w="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10 · 15%</w:t>
            </w:r>
          </w:p>
        </w:tc>
        <w:tc>
          <w:tcPr>
            <w:tcW w:type="pct" w:w="2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███░░░░░░░░░░░░░░░</w:t>
            </w:r>
          </w:p>
        </w:tc>
      </w:tr>
      <w:tr>
        <w:tc>
          <w:tcPr>
            <w:tcW w:type="pct" w:w="1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Infraestrutura (TechOps)</w:t>
            </w:r>
          </w:p>
        </w:tc>
        <w:tc>
          <w:tcPr>
            <w:tcW w:type="pct" w:w="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7 · 10%</w:t>
            </w:r>
          </w:p>
        </w:tc>
        <w:tc>
          <w:tcPr>
            <w:tcW w:type="pct" w:w="2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██░░░░░░░░░░░░░░░░</w:t>
            </w:r>
          </w:p>
        </w:tc>
      </w:tr>
      <w:tr>
        <w:tc>
          <w:tcPr>
            <w:tcW w:type="pct" w:w="1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Outras frentes</w:t>
            </w:r>
          </w:p>
        </w:tc>
        <w:tc>
          <w:tcPr>
            <w:tcW w:type="pct" w:w="9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4 · 6%</w:t>
            </w:r>
          </w:p>
        </w:tc>
        <w:tc>
          <w:tcPr>
            <w:tcW w:type="pct" w:w="22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█░░░░░░░░░░░░░░░░░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Exo 2" w:cs="Exo 2" w:eastAsia="Exo 2" w:hAnsi="Exo 2"/>
          <w:color w:val="222222"/>
          <w:sz w:val="20"/>
          <w:szCs w:val="20"/>
        </w:rPr>
        <w:t xml:space="preserve">Leitura da sprint: o esforço concluído se concentrou em desenvolvimento de plataforma e em governança interna. As frentes de frontend e de relacionamento externo, como a adesão das regionais, entregaram o que dependia da TI, mas esbarraram em validações e dependências de terceiros para fechar.</w:t>
      </w:r>
    </w:p>
    <w:p>
      <w:pPr>
        <w:shd w:fill="0225EB" w:color="auto" w:val="clear"/>
        <w:spacing w:after="100" w:before="240"/>
      </w:pPr>
      <w:r>
        <w:rPr>
          <w:rFonts w:ascii="Exo 2" w:cs="Exo 2" w:eastAsia="Exo 2" w:hAnsi="Exo 2"/>
          <w:b/>
          <w:bCs/>
          <w:color w:val="FFFFFF"/>
          <w:sz w:val="22"/>
          <w:szCs w:val="22"/>
        </w:rPr>
        <w:t xml:space="preserve">4. DETALHAMENTO POR PROJETO</w:t>
      </w:r>
    </w:p>
    <w:p>
      <w:pPr>
        <w:pBdr>
          <w:bottom w:val="single" w:color="0225EB" w:sz="6"/>
        </w:pBdr>
        <w:spacing w:after="60" w:before="160"/>
      </w:pPr>
      <w:r>
        <w:rPr>
          <w:rFonts w:ascii="Exo 2" w:cs="Exo 2" w:eastAsia="Exo 2" w:hAnsi="Exo 2"/>
          <w:b/>
          <w:bCs/>
          <w:color w:val="0225EB"/>
          <w:sz w:val="20"/>
          <w:szCs w:val="20"/>
        </w:rPr>
        <w:t xml:space="preserve">4.1 Migração de Dados e Plataforma</w:t>
      </w:r>
    </w:p>
    <w:p>
      <w:pPr>
        <w:spacing w:after="120" w:line="276"/>
      </w:pPr>
      <w:r>
        <w:rPr>
          <w:rFonts w:ascii="Exo 2" w:cs="Exo 2" w:eastAsia="Exo 2" w:hAnsi="Exo 2"/>
          <w:color w:val="222222"/>
          <w:sz w:val="20"/>
          <w:szCs w:val="20"/>
        </w:rPr>
        <w:t xml:space="preserve">A migração do SIS para a fenasync avançou com força estrutural. A API foi refatorada para uma arquitetura de monolito modular, em que os módulos se comunicam por um hub central e não entre si, o que garante escalabilidade horizontal sem perda de performance. Foram adicionados o guard global de chave de API e um contrato único de resposta, com 55 testes automatizados passando e 147 rotas reorganizadas. Dos 33 passos mapeados, 17 foram concluídos, e os módulos do SIS já consultam o site, o Conecta e o hub sem quebrar nada, com as rotas antigas mantidas para não causar impacto. A frente segue na S21 com as histórias restantes.</w:t>
      </w:r>
    </w:p>
    <w:p>
      <w:pPr>
        <w:pBdr>
          <w:bottom w:val="single" w:color="0225EB" w:sz="6"/>
        </w:pBdr>
        <w:spacing w:after="60" w:before="160"/>
      </w:pPr>
      <w:r>
        <w:rPr>
          <w:rFonts w:ascii="Exo 2" w:cs="Exo 2" w:eastAsia="Exo 2" w:hAnsi="Exo 2"/>
          <w:b/>
          <w:bCs/>
          <w:color w:val="0225EB"/>
          <w:sz w:val="20"/>
          <w:szCs w:val="20"/>
        </w:rPr>
        <w:t xml:space="preserve">4.2 Infraestrutura e Continuidade</w:t>
      </w:r>
    </w:p>
    <w:p>
      <w:pPr>
        <w:spacing w:after="120" w:line="276"/>
      </w:pPr>
      <w:r>
        <w:rPr>
          <w:rFonts w:ascii="Exo 2" w:cs="Exo 2" w:eastAsia="Exo 2" w:hAnsi="Exo 2"/>
          <w:color w:val="222222"/>
          <w:sz w:val="20"/>
          <w:szCs w:val="20"/>
        </w:rPr>
        <w:t xml:space="preserve">A frente de infraestrutura entregou ganhos relevantes de continuidade. As plataformas pagas de backup foram substituídas por uma solução própria, já validada na recuperação de dados. A autenticação do Fenasbac ID na intranet foi concluída em ambiente de teste, bloqueando o acesso não autenticado, pronta para produção, e o monitoramento com o Kuma segue em validação. Os nobreaks foram cotados, com instalação programada para o segundo, o quinto e o sétimo andares.</w:t>
      </w:r>
    </w:p>
    <w:p>
      <w:pPr>
        <w:pBdr>
          <w:bottom w:val="single" w:color="0225EB" w:sz="6"/>
        </w:pBdr>
        <w:spacing w:after="60" w:before="160"/>
      </w:pPr>
      <w:r>
        <w:rPr>
          <w:rFonts w:ascii="Exo 2" w:cs="Exo 2" w:eastAsia="Exo 2" w:hAnsi="Exo 2"/>
          <w:b/>
          <w:bCs/>
          <w:color w:val="0225EB"/>
          <w:sz w:val="20"/>
          <w:szCs w:val="20"/>
        </w:rPr>
        <w:t xml:space="preserve">4.3 Governança de Boards e Processos</w:t>
      </w:r>
    </w:p>
    <w:p>
      <w:pPr>
        <w:spacing w:after="120" w:line="276"/>
      </w:pPr>
      <w:r>
        <w:rPr>
          <w:rFonts w:ascii="Exo 2" w:cs="Exo 2" w:eastAsia="Exo 2" w:hAnsi="Exo 2"/>
          <w:color w:val="222222"/>
          <w:sz w:val="20"/>
          <w:szCs w:val="20"/>
        </w:rPr>
        <w:t xml:space="preserve">A padronização de status e workflow dos boards foi iniciada, com a criação dos novos status e do scheme compartilhado. O próximo passo é padronizar os fluxos de trabalho de todos os quadros, para melhorar as automações e a integração com o Git. Caminharam em paralelo a higienização do Drive de Tecnologia e os testes de integração entre o Jira e o Git.</w:t>
      </w:r>
    </w:p>
    <w:p>
      <w:pPr>
        <w:pBdr>
          <w:bottom w:val="single" w:color="0225EB" w:sz="6"/>
        </w:pBdr>
        <w:spacing w:after="60" w:before="160"/>
      </w:pPr>
      <w:r>
        <w:rPr>
          <w:rFonts w:ascii="Exo 2" w:cs="Exo 2" w:eastAsia="Exo 2" w:hAnsi="Exo 2"/>
          <w:b/>
          <w:bCs/>
          <w:color w:val="0225EB"/>
          <w:sz w:val="20"/>
          <w:szCs w:val="20"/>
        </w:rPr>
        <w:t xml:space="preserve">4.4 Conecta e Clube F</w:t>
      </w:r>
    </w:p>
    <w:p>
      <w:pPr>
        <w:spacing w:after="120" w:line="276"/>
      </w:pPr>
      <w:r>
        <w:rPr>
          <w:rFonts w:ascii="Exo 2" w:cs="Exo 2" w:eastAsia="Exo 2" w:hAnsi="Exo 2"/>
          <w:color w:val="222222"/>
          <w:sz w:val="20"/>
          <w:szCs w:val="20"/>
        </w:rPr>
        <w:t xml:space="preserve">Os termos de adesão foram enviados aos diretores das regionais. Quatro delas seguem em dependência externa, com Brasília e Curitiba ainda sem assinar, a serem escaladas. O teste das permissões de perfil identificou e documentou que a criação e a importação de associados não funcionam para os perfis de administrador e de gestor, um ponto já mapeado no backlog de correção. Em paralelo, o levantamento das assinaturas e a confirmação dos pontos focais foram estruturados para destravar a liberação de acessos e o treinamento.</w:t>
      </w:r>
    </w:p>
    <w:p>
      <w:pPr>
        <w:pBdr>
          <w:bottom w:val="single" w:color="0225EB" w:sz="6"/>
        </w:pBdr>
        <w:spacing w:after="60" w:before="160"/>
      </w:pPr>
      <w:r>
        <w:rPr>
          <w:rFonts w:ascii="Exo 2" w:cs="Exo 2" w:eastAsia="Exo 2" w:hAnsi="Exo 2"/>
          <w:b/>
          <w:bCs/>
          <w:color w:val="0225EB"/>
          <w:sz w:val="20"/>
          <w:szCs w:val="20"/>
        </w:rPr>
        <w:t xml:space="preserve">4.5 Frontend e Sites do Ecossistema</w:t>
      </w:r>
    </w:p>
    <w:p>
      <w:pPr>
        <w:spacing w:after="120" w:line="276"/>
      </w:pPr>
      <w:r>
        <w:rPr>
          <w:rFonts w:ascii="Exo 2" w:cs="Exo 2" w:eastAsia="Exo 2" w:hAnsi="Exo 2"/>
          <w:color w:val="222222"/>
          <w:sz w:val="20"/>
          <w:szCs w:val="20"/>
        </w:rPr>
        <w:t xml:space="preserve">A quase totalidade das frentes de frontend foi entregue e aguarda a validação da Comunicação. Estão prontos para validação os sites Nexus, Sandbox, Lift e TILT, além da página comemorativa Start 60 anos, que está em 95% e depende de links e imagens da área de conteúdo. As tags de analytics na área logada foram implementadas para rastrear o comportamento de navegação, aguardando o passo final no Google Tag Manager com o Marketing. Ficou acordado que alterações fora do escopo validado passam a exigir novo chamado.</w:t>
      </w:r>
    </w:p>
    <w:p>
      <w:pPr>
        <w:pBdr>
          <w:bottom w:val="single" w:color="0225EB" w:sz="6"/>
        </w:pBdr>
        <w:spacing w:after="60" w:before="160"/>
      </w:pPr>
      <w:r>
        <w:rPr>
          <w:rFonts w:ascii="Exo 2" w:cs="Exo 2" w:eastAsia="Exo 2" w:hAnsi="Exo 2"/>
          <w:b/>
          <w:bCs/>
          <w:color w:val="0225EB"/>
          <w:sz w:val="20"/>
          <w:szCs w:val="20"/>
        </w:rPr>
        <w:t xml:space="preserve">4.6 Conteúdo e Strapi</w:t>
      </w:r>
    </w:p>
    <w:p>
      <w:pPr>
        <w:spacing w:after="120" w:line="276"/>
      </w:pPr>
      <w:r>
        <w:rPr>
          <w:rFonts w:ascii="Exo 2" w:cs="Exo 2" w:eastAsia="Exo 2" w:hAnsi="Exo 2"/>
          <w:color w:val="222222"/>
          <w:sz w:val="20"/>
          <w:szCs w:val="20"/>
        </w:rPr>
        <w:t xml:space="preserve">O Strapi foi concluído e entregue, com o handover feito à equipe, e o site TILT na nova versão do Strapi foi entregue para validação, dando continuidade à migração de conteúdo do ecossistema.</w:t>
      </w:r>
    </w:p>
    <w:p>
      <w:pPr>
        <w:pBdr>
          <w:bottom w:val="single" w:color="0225EB" w:sz="6"/>
        </w:pBdr>
        <w:spacing w:after="60" w:before="160"/>
      </w:pPr>
      <w:r>
        <w:rPr>
          <w:rFonts w:ascii="Exo 2" w:cs="Exo 2" w:eastAsia="Exo 2" w:hAnsi="Exo 2"/>
          <w:b/>
          <w:bCs/>
          <w:color w:val="0225EB"/>
          <w:sz w:val="20"/>
          <w:szCs w:val="20"/>
        </w:rPr>
        <w:t xml:space="preserve">4.7 Aplicação de Certificados</w:t>
      </w:r>
    </w:p>
    <w:p>
      <w:pPr>
        <w:spacing w:after="120" w:line="276"/>
      </w:pPr>
      <w:r>
        <w:rPr>
          <w:rFonts w:ascii="Exo 2" w:cs="Exo 2" w:eastAsia="Exo 2" w:hAnsi="Exo 2"/>
          <w:color w:val="222222"/>
          <w:sz w:val="20"/>
          <w:szCs w:val="20"/>
        </w:rPr>
        <w:t xml:space="preserve">Foi realizado o handover da aplicação de certificados para todas as coordenações, com mapa mental, demonstração da interface e teste ao vivo com as áreas, preparando a operacionalização da emissão de certificados nos programas e eventos.</w:t>
      </w:r>
    </w:p>
    <w:p>
      <w:pPr>
        <w:pBdr>
          <w:bottom w:val="single" w:color="0225EB" w:sz="6"/>
        </w:pBdr>
        <w:spacing w:after="60" w:before="160"/>
      </w:pPr>
      <w:r>
        <w:rPr>
          <w:rFonts w:ascii="Exo 2" w:cs="Exo 2" w:eastAsia="Exo 2" w:hAnsi="Exo 2"/>
          <w:b/>
          <w:bCs/>
          <w:color w:val="0225EB"/>
          <w:sz w:val="20"/>
          <w:szCs w:val="20"/>
        </w:rPr>
        <w:t xml:space="preserve">4.8 Service Desk e Suporte</w:t>
      </w:r>
    </w:p>
    <w:p>
      <w:pPr>
        <w:spacing w:after="120" w:line="276"/>
      </w:pPr>
      <w:r>
        <w:rPr>
          <w:rFonts w:ascii="Exo 2" w:cs="Exo 2" w:eastAsia="Exo 2" w:hAnsi="Exo 2"/>
          <w:color w:val="222222"/>
          <w:sz w:val="20"/>
          <w:szCs w:val="20"/>
        </w:rPr>
        <w:t xml:space="preserve">O Service Desk manteve o ritmo de atendimento, com 71% dos chamados da janela resolvidos. Entre os destaques, a correção do saldo devedor do PGAFI por execução de código legado em produção, o backup do fechamento de setembro e os ajustes de integração no PipeDrive. Ficaram em aberto, com SLA pausado, as aquisições de equipamentos para a equipe de São Paulo.</w:t>
      </w:r>
    </w:p>
    <w:p>
      <w:pPr>
        <w:shd w:fill="0225EB" w:color="auto" w:val="clear"/>
        <w:spacing w:after="100" w:before="240"/>
      </w:pPr>
      <w:r>
        <w:rPr>
          <w:rFonts w:ascii="Exo 2" w:cs="Exo 2" w:eastAsia="Exo 2" w:hAnsi="Exo 2"/>
          <w:b/>
          <w:bCs/>
          <w:color w:val="FFFFFF"/>
          <w:sz w:val="22"/>
          <w:szCs w:val="22"/>
        </w:rPr>
        <w:t xml:space="preserve">5. PONTOS DE ATENÇÃO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2"/>
        <w:gridCol w:w="2912"/>
        <w:gridCol w:w="3882"/>
      </w:tblGrid>
      <w:tr>
        <w:trPr>
          <w:tblHeader/>
        </w:trPr>
        <w:tc>
          <w:tcPr>
            <w:tcW w:type="pct" w:w="1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0225E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8"/>
                <w:szCs w:val="18"/>
              </w:rPr>
              <w:t xml:space="preserve">Ponto de atenção</w:t>
            </w:r>
          </w:p>
        </w:tc>
        <w:tc>
          <w:tcPr>
            <w:tcW w:type="pct" w:w="1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0225E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pct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0225E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8"/>
                <w:szCs w:val="18"/>
              </w:rPr>
              <w:t xml:space="preserve">Dependência / Ação</w:t>
            </w:r>
          </w:p>
        </w:tc>
      </w:tr>
      <w:tr>
        <w:tc>
          <w:tcPr>
            <w:tcW w:type="pct" w:w="1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Roadmap de reporting executivo em zero entregas</w:t>
            </w:r>
          </w:p>
        </w:tc>
        <w:tc>
          <w:tcPr>
            <w:tcW w:type="pct" w:w="1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Meta de reporting da TI parada</w:t>
            </w:r>
          </w:p>
        </w:tc>
        <w:tc>
          <w:tcPr>
            <w:tcW w:type="pct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Priorizar indicadores e ciclos de report na S21 (Coordenação)</w:t>
            </w:r>
          </w:p>
        </w:tc>
      </w:tr>
      <w:tr>
        <w:tc>
          <w:tcPr>
            <w:tcW w:type="pct" w:w="1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Adesão do Conecta: Brasília e Curitiba sem assinar</w:t>
            </w:r>
          </w:p>
        </w:tc>
        <w:tc>
          <w:tcPr>
            <w:tcW w:type="pct" w:w="1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Atrasa treinamento e liberação de acessos</w:t>
            </w:r>
          </w:p>
        </w:tc>
        <w:tc>
          <w:tcPr>
            <w:tcW w:type="pct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Escalar as duas regionais; agradecer as demais (Coordenação)</w:t>
            </w:r>
          </w:p>
        </w:tc>
      </w:tr>
      <w:tr>
        <w:tc>
          <w:tcPr>
            <w:tcW w:type="pct" w:w="1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Frontend entregue parado em validação da Comunicação</w:t>
            </w:r>
          </w:p>
        </w:tc>
        <w:tc>
          <w:tcPr>
            <w:tcW w:type="pct" w:w="1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Sites prontos sem publicar; indefinição de escopo</w:t>
            </w:r>
          </w:p>
        </w:tc>
        <w:tc>
          <w:tcPr>
            <w:tcW w:type="pct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Regra de novo chamado para mudança de escopo (Coordenação / Conteúdo)</w:t>
            </w:r>
          </w:p>
        </w:tc>
      </w:tr>
      <w:tr>
        <w:tc>
          <w:tcPr>
            <w:tcW w:type="pct" w:w="1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Criação e importação de associados falham para admin e gestor</w:t>
            </w:r>
          </w:p>
        </w:tc>
        <w:tc>
          <w:tcPr>
            <w:tcW w:type="pct" w:w="1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Impede a ativação plena das regionais no Conecta</w:t>
            </w:r>
          </w:p>
        </w:tc>
        <w:tc>
          <w:tcPr>
            <w:tcW w:type="pct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Correção já mapeada no backlog (Desenvolvimento)</w:t>
            </w:r>
          </w:p>
        </w:tc>
      </w:tr>
      <w:tr>
        <w:tc>
          <w:tcPr>
            <w:tcW w:type="pct" w:w="1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Clube F com erros de cadastro na ativação da ASBAC</w:t>
            </w:r>
          </w:p>
        </w:tc>
        <w:tc>
          <w:tcPr>
            <w:tcW w:type="pct" w:w="1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Associados sem conseguir acessar o benefício</w:t>
            </w:r>
          </w:p>
        </w:tc>
        <w:tc>
          <w:tcPr>
            <w:tcW w:type="pct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Correção de CPF e report oficial ao Rodrigo (Desenvolvimento e Tech Lead)</w:t>
            </w:r>
          </w:p>
        </w:tc>
      </w:tr>
      <w:tr>
        <w:tc>
          <w:tcPr>
            <w:tcW w:type="pct" w:w="1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Upgrade e troca de máquinas e dois chamados bloqueados</w:t>
            </w:r>
          </w:p>
        </w:tc>
        <w:tc>
          <w:tcPr>
            <w:tcW w:type="pct" w:w="15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Equipe de SP sem equipamentos; SLA pausado</w:t>
            </w:r>
          </w:p>
        </w:tc>
        <w:tc>
          <w:tcPr>
            <w:tcW w:type="pct" w:w="20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Aprovação da Diretoria e aquisição (Infra/Suporte)</w:t>
            </w:r>
          </w:p>
        </w:tc>
      </w:tr>
    </w:tbl>
    <w:p>
      <w:pPr>
        <w:pBdr>
          <w:bottom w:val="single" w:color="0225EB" w:sz="6"/>
        </w:pBdr>
        <w:spacing w:after="60" w:before="160"/>
      </w:pPr>
      <w:r>
        <w:rPr>
          <w:rFonts w:ascii="Exo 2" w:cs="Exo 2" w:eastAsia="Exo 2" w:hAnsi="Exo 2"/>
          <w:b/>
          <w:bCs/>
          <w:color w:val="0225EB"/>
          <w:sz w:val="20"/>
          <w:szCs w:val="20"/>
        </w:rPr>
        <w:t xml:space="preserve">Compromissos para a S21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4"/>
        <w:gridCol w:w="4659"/>
        <w:gridCol w:w="2524"/>
      </w:tblGrid>
      <w:tr>
        <w:trPr>
          <w:tblHeader/>
        </w:trPr>
        <w:tc>
          <w:tcPr>
            <w:tcW w:type="pct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0225E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8"/>
                <w:szCs w:val="18"/>
              </w:rPr>
              <w:t xml:space="preserve">Frente</w:t>
            </w:r>
          </w:p>
        </w:tc>
        <w:tc>
          <w:tcPr>
            <w:tcW w:type="pct" w:w="2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0225E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8"/>
                <w:szCs w:val="18"/>
              </w:rPr>
              <w:t xml:space="preserve">Compromisso</w:t>
            </w:r>
          </w:p>
        </w:tc>
        <w:tc>
          <w:tcPr>
            <w:tcW w:type="pct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0225E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pct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Migração SIS</w:t>
            </w:r>
          </w:p>
        </w:tc>
        <w:tc>
          <w:tcPr>
            <w:tcW w:type="pct" w:w="2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Executar as histórias restantes da migração para a fenasync</w:t>
            </w:r>
          </w:p>
        </w:tc>
        <w:tc>
          <w:tcPr>
            <w:tcW w:type="pct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Desenvolvimento</w:t>
            </w:r>
          </w:p>
        </w:tc>
      </w:tr>
      <w:tr>
        <w:tc>
          <w:tcPr>
            <w:tcW w:type="pct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Reporting executivo</w:t>
            </w:r>
          </w:p>
        </w:tc>
        <w:tc>
          <w:tcPr>
            <w:tcW w:type="pct" w:w="2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Destravar os indicadores e os ciclos formais de report</w:t>
            </w:r>
          </w:p>
        </w:tc>
        <w:tc>
          <w:tcPr>
            <w:tcW w:type="pct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Coordenação</w:t>
            </w:r>
          </w:p>
        </w:tc>
      </w:tr>
      <w:tr>
        <w:tc>
          <w:tcPr>
            <w:tcW w:type="pct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Governança do Jira</w:t>
            </w:r>
          </w:p>
        </w:tc>
        <w:tc>
          <w:tcPr>
            <w:tcW w:type="pct" w:w="2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Padronizar os fluxos de trabalho dos boards para automações e integração com o Git</w:t>
            </w:r>
          </w:p>
        </w:tc>
        <w:tc>
          <w:tcPr>
            <w:tcW w:type="pct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Coordenação e Tech Lead</w:t>
            </w:r>
          </w:p>
        </w:tc>
      </w:tr>
      <w:tr>
        <w:tc>
          <w:tcPr>
            <w:tcW w:type="pct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Conecta</w:t>
            </w:r>
          </w:p>
        </w:tc>
        <w:tc>
          <w:tcPr>
            <w:tcW w:type="pct" w:w="2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Escalar e fechar as assinaturas, liberar acessos e corrigir as permissões de perfil</w:t>
            </w:r>
          </w:p>
        </w:tc>
        <w:tc>
          <w:tcPr>
            <w:tcW w:type="pct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Coordenação e Desenvolvimento</w:t>
            </w:r>
          </w:p>
        </w:tc>
      </w:tr>
      <w:tr>
        <w:tc>
          <w:tcPr>
            <w:tcW w:type="pct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Clube F</w:t>
            </w:r>
          </w:p>
        </w:tc>
        <w:tc>
          <w:tcPr>
            <w:tcW w:type="pct" w:w="2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Corrigir o cadastro e entregar o report oficial ao Rodrigo</w:t>
            </w:r>
          </w:p>
        </w:tc>
        <w:tc>
          <w:tcPr>
            <w:tcW w:type="pct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Desenvolvimento e Tech Lead</w:t>
            </w:r>
          </w:p>
        </w:tc>
      </w:tr>
      <w:tr>
        <w:tc>
          <w:tcPr>
            <w:tcW w:type="pct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NordPass</w:t>
            </w:r>
          </w:p>
        </w:tc>
        <w:tc>
          <w:tcPr>
            <w:tcW w:type="pct" w:w="2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Encerrar a onda do Financeiro e iniciar a do Consórcio</w:t>
            </w:r>
          </w:p>
        </w:tc>
        <w:tc>
          <w:tcPr>
            <w:tcW w:type="pct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Coordenação e Infra/Suporte</w:t>
            </w:r>
          </w:p>
        </w:tc>
      </w:tr>
      <w:tr>
        <w:tc>
          <w:tcPr>
            <w:tcW w:type="pct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Frontend</w:t>
            </w:r>
          </w:p>
        </w:tc>
        <w:tc>
          <w:tcPr>
            <w:tcW w:type="pct" w:w="2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Validar e publicar os sites do ecossistema após o aceite da Comunicação</w:t>
            </w:r>
          </w:p>
        </w:tc>
        <w:tc>
          <w:tcPr>
            <w:tcW w:type="pct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Conteúdo e Desenvolvimento</w:t>
            </w:r>
          </w:p>
        </w:tc>
      </w:tr>
      <w:tr>
        <w:tc>
          <w:tcPr>
            <w:tcW w:type="pct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Integração ASBAC e WBC</w:t>
            </w:r>
          </w:p>
        </w:tc>
        <w:tc>
          <w:tcPr>
            <w:tcW w:type="pct" w:w="2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Cobrar o endpoint do WBC e consumir a API no lado Fenasbac</w:t>
            </w:r>
          </w:p>
        </w:tc>
        <w:tc>
          <w:tcPr>
            <w:tcW w:type="pct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EF2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Coordenação e Desenvolvimento</w:t>
            </w:r>
          </w:p>
        </w:tc>
      </w:tr>
      <w:tr>
        <w:tc>
          <w:tcPr>
            <w:tcW w:type="pct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Infraestrutura</w:t>
            </w:r>
          </w:p>
        </w:tc>
        <w:tc>
          <w:tcPr>
            <w:tcW w:type="pct" w:w="24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Instalar os nobreaks e concluir o onboarding do André com a chegada da máquina</w:t>
            </w:r>
          </w:p>
        </w:tc>
        <w:tc>
          <w:tcPr>
            <w:tcW w:type="pct" w:w="130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Exo 2" w:cs="Exo 2" w:eastAsia="Exo 2" w:hAnsi="Exo 2"/>
                <w:b w:val="false"/>
                <w:bCs w:val="false"/>
                <w:color w:val="222222"/>
                <w:sz w:val="18"/>
                <w:szCs w:val="18"/>
              </w:rPr>
              <w:t xml:space="preserve">Infra/Suporte</w:t>
            </w:r>
          </w:p>
        </w:tc>
      </w:tr>
    </w:tbl>
    <w:p>
      <w:pPr>
        <w:spacing w:after="20" w:before="160"/>
      </w:pPr>
      <w:r>
        <w:rPr>
          <w:rFonts w:ascii="Exo 2" w:cs="Exo 2" w:eastAsia="Exo 2" w:hAnsi="Exo 2"/>
          <w:color w:val="595959"/>
          <w:sz w:val="18"/>
          <w:szCs w:val="18"/>
        </w:rPr>
        <w:t xml:space="preserve">13/10/2026 · Versão 1.1</w:t>
      </w:r>
    </w:p>
    <w:p>
      <w:pPr>
        <w:spacing w:after="80"/>
      </w:pPr>
      <w:r>
        <w:rPr>
          <w:rFonts w:ascii="Exo 2" w:cs="Exo 2" w:eastAsia="Exo 2" w:hAnsi="Exo 2"/>
          <w:i/>
          <w:iCs/>
          <w:color w:val="595959"/>
          <w:sz w:val="16"/>
          <w:szCs w:val="16"/>
        </w:rPr>
        <w:t xml:space="preserve">Fontes: board da Sprint S20 no Jira · registro do Service Desk · transcrição do Sprint Planning · registro operacional dos canais e das tarefas.</w:t>
      </w:r>
    </w:p>
    <w:sectPr>
      <w:headerReference w:type="default" r:id="rId6"/>
      <w:footerReference w:type="default" r:id="rId7"/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225EB" w:sz="10"/>
      </w:pBdr>
      <w:tabs>
        <w:tab w:val="right" w:pos="9026"/>
      </w:tabs>
      <w:spacing w:before="40"/>
    </w:pPr>
    <w:r>
      <w:rPr>
        <w:rFonts w:ascii="Exo 2" w:cs="Exo 2" w:eastAsia="Exo 2" w:hAnsi="Exo 2"/>
        <w:color w:val="595959"/>
        <w:sz w:val="16"/>
        <w:szCs w:val="16"/>
      </w:rPr>
      <w:t xml:space="preserve">SBS Quadra 02, Bloco A, Ed. Casa de São Paulo, 7º andar — Brasília/DF</w:t>
    </w:r>
    <w:r>
      <w:rPr>
        <w:rFonts w:ascii="Exo 2" w:cs="Exo 2" w:eastAsia="Exo 2" w:hAnsi="Exo 2"/>
        <w:color w:val="595959"/>
        <w:sz w:val="16"/>
        <w:szCs w:val="16"/>
      </w:rPr>
      <w:t xml:space="preserve">	Página </w:t>
    </w:r>
    <w:r>
      <w:rPr>
        <w:rFonts w:ascii="Exo 2" w:cs="Exo 2" w:eastAsia="Exo 2" w:hAnsi="Exo 2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25EB" w:sz="10"/>
      </w:pBdr>
      <w:spacing w:after="40"/>
    </w:pPr>
    <w:r>
      <w:rPr>
        <w:rFonts w:ascii="Exo 2" w:cs="Exo 2" w:eastAsia="Exo 2" w:hAnsi="Exo 2"/>
        <w:b/>
        <w:bCs/>
        <w:color w:val="0225EB"/>
        <w:sz w:val="16"/>
        <w:szCs w:val="16"/>
      </w:rPr>
      <w:t xml:space="preserve">FENASBAC TI  |  Relatório de Projetos e Sistemas · Sprint S20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Exo 2" w:cs="Exo 2" w:eastAsia="Exo 2" w:hAnsi="Exo 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2026-10-13T20:20:12.933Z</dcterms:created>
  <dcterms:modified xsi:type="dcterms:W3CDTF">2026-10-13T20:20:12.941Z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