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Exo 2" w:cs="Exo 2" w:eastAsia="Exo 2" w:hAnsi="Exo 2"/>
          <w:b/>
          <w:bCs/>
          <w:i w:val="false"/>
          <w:iCs w:val="false"/>
          <w:color w:val="002060"/>
          <w:sz w:val="20"/>
          <w:szCs w:val="20"/>
        </w:rPr>
        <w:t xml:space="preserve">FENASBAC TI  |  Report Mensal · Diretoria de Inovação</w:t>
      </w:r>
    </w:p>
    <w:p>
      <w:pPr>
        <w:spacing w:after="40"/>
        <w:jc w:val="center"/>
      </w:pPr>
      <w:r>
        <w:rPr>
          <w:rFonts w:ascii="Exo 2" w:cs="Exo 2" w:eastAsia="Exo 2" w:hAnsi="Exo 2"/>
          <w:b/>
          <w:bCs/>
          <w:i w:val="false"/>
          <w:iCs w:val="false"/>
          <w:color w:val="0225EB"/>
          <w:sz w:val="28"/>
          <w:szCs w:val="28"/>
        </w:rPr>
        <w:t xml:space="preserve">PANORAMA ESTRATÉGICO DE TECNOLOGIA — AGOSTO/2026</w:t>
      </w:r>
    </w:p>
    <w:p>
      <w:pPr>
        <w:spacing/>
        <w:jc w:val="center"/>
      </w:pPr>
      <w:r>
        <w:rPr>
          <w:rFonts w:ascii="Exo 2" w:cs="Exo 2" w:eastAsia="Exo 2" w:hAnsi="Exo 2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Consolidação das sprints S16 e S17 · 04/08 a 31/08/2026</w:t>
      </w:r>
    </w:p>
    <w:p>
      <w:pPr>
        <w:spacing w:after="110"/>
        <w:jc w:val="center"/>
      </w:pPr>
      <w:r>
        <w:rPr>
          <w:rFonts w:ascii="Exo 2" w:cs="Exo 2" w:eastAsia="Exo 2" w:hAnsi="Exo 2"/>
          <w:b w:val="false"/>
          <w:bCs w:val="false"/>
          <w:i w:val="false"/>
          <w:iCs w:val="false"/>
          <w:color w:val="595959"/>
          <w:sz w:val="18"/>
          <w:szCs w:val="18"/>
        </w:rPr>
        <w:t xml:space="preserve">Coordenação de TI — Lenita Costa · para Rodrigoh Henriques</w:t>
      </w:r>
    </w:p>
    <w:p>
      <w:pPr>
        <w:shd w:fill="002060" w:val="clear"/>
        <w:spacing w:after="90" w:before="190"/>
      </w:pPr>
      <w:r>
        <w:rPr>
          <w:rFonts w:ascii="Exo 2" w:cs="Exo 2" w:eastAsia="Exo 2" w:hAnsi="Exo 2"/>
          <w:b/>
          <w:bCs/>
          <w:color w:val="FFFFFF"/>
          <w:sz w:val="21"/>
          <w:szCs w:val="21"/>
        </w:rPr>
        <w:t xml:space="preserve">  A leitura do mês</w:t>
      </w:r>
    </w:p>
    <w:p>
      <w:pPr>
        <w:spacing w:after="80"/>
        <w:jc w:val="both"/>
      </w:pPr>
      <w:r>
        <w:rPr>
          <w:rFonts w:ascii="Exo 2" w:cs="Exo 2" w:eastAsia="Exo 2" w:hAnsi="Exo 2"/>
          <w:color w:val="1A1A1A"/>
          <w:sz w:val="21"/>
          <w:szCs w:val="21"/>
        </w:rPr>
        <w:t xml:space="preserve">Agosto foi o mês em que a Tecnologia consolidou a saída do modo reativo para uma operação com governança. A área pegou mais trabalho e atendeu melhor ao mesmo tempo: o volume e a entrega cresceram de uma sprint para a outra, e a qualidade do atendimento subiu dentro do próprio mês. Entregamos produto, com a plataforma de certificados concluída e a segurança do Fenasbac IA pronta, e amadurecemos a estrutura, com a evolução do Service Desk e a padronização dos processos. O time cresceu de forma organizada, por processo, não por improviso. A operação está na transição da fundação para a maturidade.</w:t>
      </w:r>
    </w:p>
    <w:p>
      <w:pPr>
        <w:shd w:fill="002060" w:val="clear"/>
        <w:spacing w:after="90" w:before="190"/>
      </w:pPr>
      <w:r>
        <w:rPr>
          <w:rFonts w:ascii="Exo 2" w:cs="Exo 2" w:eastAsia="Exo 2" w:hAnsi="Exo 2"/>
          <w:b/>
          <w:bCs/>
          <w:color w:val="FFFFFF"/>
          <w:sz w:val="21"/>
          <w:szCs w:val="21"/>
        </w:rPr>
        <w:t xml:space="preserve">  Números do mês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2"/>
                <w:szCs w:val="32"/>
              </w:rPr>
              <w:t xml:space="preserve">64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itens concluídos no mês</w:t>
            </w:r>
          </w:p>
        </w:tc>
        <w:tc>
          <w:tcPr>
            <w:tcW w:type="pct" w:w="25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sprints (S16 · S17)</w:t>
            </w:r>
          </w:p>
        </w:tc>
        <w:tc>
          <w:tcPr>
            <w:tcW w:type="pct" w:w="25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2"/>
                <w:szCs w:val="32"/>
              </w:rPr>
              <w:t xml:space="preserve">42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chamados atendidos</w:t>
            </w:r>
          </w:p>
        </w:tc>
        <w:tc>
          <w:tcPr>
            <w:tcW w:type="pct" w:w="25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2"/>
                <w:szCs w:val="32"/>
              </w:rPr>
              <w:t xml:space="preserve">+2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pessoas integradas</w:t>
            </w:r>
          </w:p>
        </w:tc>
      </w:tr>
    </w:tbl>
    <w:p>
      <w:pPr>
        <w:spacing w:after="80"/>
      </w:pPr>
    </w:p>
    <w:p>
      <w:pPr>
        <w:shd w:fill="002060" w:val="clear"/>
        <w:spacing w:after="90" w:before="190"/>
      </w:pPr>
      <w:r>
        <w:rPr>
          <w:rFonts w:ascii="Exo 2" w:cs="Exo 2" w:eastAsia="Exo 2" w:hAnsi="Exo 2"/>
          <w:b/>
          <w:bCs/>
          <w:color w:val="FFFFFF"/>
          <w:sz w:val="21"/>
          <w:szCs w:val="21"/>
        </w:rPr>
        <w:t xml:space="preserve">  Evolução dentro do mês (S16 → S17)</w:t>
      </w:r>
    </w:p>
    <w:p>
      <w:pPr>
        <w:spacing w:after="80"/>
        <w:jc w:val="both"/>
      </w:pPr>
      <w:r>
        <w:rPr>
          <w:rFonts w:ascii="Exo 2" w:cs="Exo 2" w:eastAsia="Exo 2" w:hAnsi="Exo 2"/>
          <w:color w:val="1A1A1A"/>
          <w:sz w:val="21"/>
          <w:szCs w:val="21"/>
        </w:rPr>
        <w:t xml:space="preserve">O dado mais relevante de agosto não é o volume, é a tendência: a área melhorou de uma sprint para a outra, enquanto absorvia mais demanda.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pct" w:w="22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S16 (04–14/08)</w:t>
            </w:r>
          </w:p>
        </w:tc>
        <w:tc>
          <w:tcPr>
            <w:tcW w:type="pct" w:w="22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S17 (17–31/08)</w:t>
            </w:r>
          </w:p>
        </w:tc>
        <w:tc>
          <w:tcPr>
            <w:tcW w:type="pct" w:w="22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Evolução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Itens concluídos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1E7B34"/>
                <w:sz w:val="18"/>
                <w:szCs w:val="18"/>
              </w:rPr>
              <w:t xml:space="preserve">▲ +37%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Chamados atendidos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1A1A1A"/>
                <w:sz w:val="18"/>
                <w:szCs w:val="18"/>
              </w:rPr>
              <w:t xml:space="preserve">— demanda menor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SLA · 1ª resposta no prazo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1E7B34"/>
                <w:sz w:val="18"/>
                <w:szCs w:val="18"/>
              </w:rPr>
              <w:t xml:space="preserve">▲ +5 p.p.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SLA · resolução no prazo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72%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92%</w:t>
            </w:r>
          </w:p>
        </w:tc>
        <w:tc>
          <w:tcPr>
            <w:tcW w:type="pct" w:w="2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1E7B34"/>
                <w:sz w:val="18"/>
                <w:szCs w:val="18"/>
              </w:rPr>
              <w:t xml:space="preserve">▲ +20 p.p.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Exo 2" w:cs="Exo 2" w:eastAsia="Exo 2" w:hAnsi="Exo 2"/>
          <w:color w:val="1A1A1A"/>
          <w:sz w:val="21"/>
          <w:szCs w:val="21"/>
        </w:rPr>
        <w:t xml:space="preserve">A leitura estratégica: a Tecnologia aumentou a capacidade de entrega (mais itens concluídos) e, ao mesmo tempo, elevou a qualidade do atendimento (SLA de resolução de 72% para 92%). Crescer volume e qualidade juntos é sinal de maturidade operacional, não de esforço pontual.</w:t>
      </w:r>
    </w:p>
    <w:p>
      <w:pPr>
        <w:shd w:fill="002060" w:val="clear"/>
        <w:spacing w:after="90" w:before="190"/>
      </w:pPr>
      <w:r>
        <w:rPr>
          <w:rFonts w:ascii="Exo 2" w:cs="Exo 2" w:eastAsia="Exo 2" w:hAnsi="Exo 2"/>
          <w:b/>
          <w:bCs/>
          <w:color w:val="FFFFFF"/>
          <w:sz w:val="21"/>
          <w:szCs w:val="21"/>
        </w:rPr>
        <w:t xml:space="preserve">  SLA por frente (trilhas do Service Desk)</w:t>
      </w:r>
    </w:p>
    <w:p>
      <w:pPr>
        <w:spacing w:after="80"/>
        <w:jc w:val="both"/>
      </w:pPr>
      <w:r>
        <w:rPr>
          <w:rFonts w:ascii="Exo 2" w:cs="Exo 2" w:eastAsia="Exo 2" w:hAnsi="Exo 2"/>
          <w:color w:val="1A1A1A"/>
          <w:sz w:val="21"/>
          <w:szCs w:val="21"/>
        </w:rPr>
        <w:t xml:space="preserve">O número agregado esconde onde está o esforço. Abaixo, o cumprimento de SLA por trilha de atendimento do Service Desk, lido direto dos campos oficiais do Jira Service Management, em horário comercial. A primeira resposta está sob controle em todas as frentes; a diferença aparece na resolução.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Frente</w:t>
            </w:r>
          </w:p>
        </w:tc>
        <w:tc>
          <w:tcPr>
            <w:tcW w:type="pct" w:w="13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pct" w:w="23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Chamados</w:t>
            </w:r>
          </w:p>
        </w:tc>
        <w:tc>
          <w:tcPr>
            <w:tcW w:type="pct" w:w="17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Resolução no prazo</w:t>
            </w:r>
          </w:p>
        </w:tc>
        <w:tc>
          <w:tcPr>
            <w:tcW w:type="pct" w:w="17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1ª resposta</w:t>
            </w:r>
          </w:p>
        </w:tc>
      </w:tr>
      <w:tr>
        <w:tc>
          <w:tcPr>
            <w:tcW w:type="pct" w:w="3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Solicitação de TI</w:t>
            </w:r>
          </w:p>
        </w:tc>
        <w:tc>
          <w:tcPr>
            <w:tcW w:type="pct" w:w="1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4h / 24h</w:t>
            </w:r>
          </w:p>
        </w:tc>
        <w:tc>
          <w:tcPr>
            <w:tcW w:type="pct" w:w="2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25 recebidos · 21 concluídos · 4 em aberto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85,7%  (18 de 21)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3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Solicitação – Comunicação Digital</w:t>
            </w:r>
          </w:p>
        </w:tc>
        <w:tc>
          <w:tcPr>
            <w:tcW w:type="pct" w:w="1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4h / 56h</w:t>
            </w:r>
          </w:p>
        </w:tc>
        <w:tc>
          <w:tcPr>
            <w:tcW w:type="pct" w:w="2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15 recebidos · 8 concluídos · 7 em aberto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75,0%  (6 de 8)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92,9%</w:t>
            </w:r>
          </w:p>
        </w:tc>
      </w:tr>
      <w:tr>
        <w:tc>
          <w:tcPr>
            <w:tcW w:type="pct" w:w="3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Reportar incidente</w:t>
            </w:r>
          </w:p>
        </w:tc>
        <w:tc>
          <w:tcPr>
            <w:tcW w:type="pct" w:w="1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4h / 24h</w:t>
            </w:r>
          </w:p>
        </w:tc>
        <w:tc>
          <w:tcPr>
            <w:tcW w:type="pct" w:w="2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5 recebidos · 4 concluídos · 1 em aberto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75,0%  (3 de 4)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pct" w:w="3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/>
                <w:bCs/>
                <w:color w:val="1A1A1A"/>
                <w:sz w:val="18"/>
                <w:szCs w:val="18"/>
              </w:rPr>
              <w:t xml:space="preserve">Total do mês</w:t>
            </w:r>
          </w:p>
        </w:tc>
        <w:tc>
          <w:tcPr>
            <w:tcW w:type="pct" w:w="1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23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Exo 2" w:cs="Exo 2" w:eastAsia="Exo 2" w:hAnsi="Exo 2"/>
                <w:b/>
                <w:bCs/>
                <w:color w:val="1A1A1A"/>
                <w:sz w:val="18"/>
                <w:szCs w:val="18"/>
              </w:rPr>
              <w:t xml:space="preserve">45 recebidos · 33 concluídos · 12 em aberto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1A1A1A"/>
                <w:sz w:val="18"/>
                <w:szCs w:val="18"/>
              </w:rPr>
              <w:t xml:space="preserve">81,8%  (27 de 33)</w:t>
            </w:r>
          </w:p>
        </w:tc>
        <w:tc>
          <w:tcPr>
            <w:tcW w:type="pct" w:w="17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1A1A1A"/>
                <w:sz w:val="18"/>
                <w:szCs w:val="18"/>
              </w:rPr>
              <w:t xml:space="preserve">97,7%</w:t>
            </w:r>
          </w:p>
        </w:tc>
      </w:tr>
    </w:tbl>
    <w:p>
      <w:pPr>
        <w:spacing w:after="120"/>
        <w:jc w:val="both"/>
      </w:pPr>
      <w:r>
        <w:rPr>
          <w:rFonts w:ascii="Exo 2" w:cs="Exo 2" w:eastAsia="Exo 2" w:hAnsi="Exo 2"/>
          <w:b/>
          <w:bCs/>
          <w:color w:val="1A1A1A"/>
          <w:sz w:val="21"/>
          <w:szCs w:val="21"/>
        </w:rPr>
        <w:t xml:space="preserve">Onde está o gargalo.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Comunicação Digital concentra os estouros do mês e tem quase metade dos chamados ainda em aberto (7 de 15), por depender de conteúdo e de definições das áreas solicitantes — o mesmo ponto levantado em Impactos. Solicitação de TI, a trilha de maior volume, responde 100% das primeiras respostas no prazo e resolve 85,7% dentro da meta.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1A1A1A"/>
          <w:sz w:val="18"/>
          <w:szCs w:val="18"/>
        </w:rPr>
        <w:t xml:space="preserve">Como o SLA é apurado. </w:t>
      </w:r>
      <w:r>
        <w:rPr>
          <w:rFonts w:ascii="Exo 2" w:cs="Exo 2" w:eastAsia="Exo 2" w:hAnsi="Exo 2"/>
          <w:color w:val="1A1A1A"/>
          <w:sz w:val="18"/>
          <w:szCs w:val="18"/>
        </w:rPr>
        <w:t xml:space="preserve">Lido dos campos oficiais do JSM (primeira resposta e resolução), em horário comercial, sem cálculo manual. A base é a coorte do mês: os 45 chamados abertos entre 01 e 31/08, sendo 42 deles dentro das janelas das duas sprints. O percentual de resolução considera apenas os 33 já concluídos; os chamados em aberto são declarados em cada frente, e não diluídos no índice. As metas são as réguas configuradas no próprio JSM.</w:t>
      </w:r>
    </w:p>
    <w:p>
      <w:pPr>
        <w:spacing w:after="80"/>
        <w:jc w:val="both"/>
      </w:pPr>
      <w:r>
        <w:rPr>
          <w:rFonts w:ascii="Exo 2" w:cs="Exo 2" w:eastAsia="Exo 2" w:hAnsi="Exo 2"/>
          <w:b/>
          <w:bCs/>
          <w:color w:val="1A1A1A"/>
          <w:sz w:val="18"/>
          <w:szCs w:val="18"/>
        </w:rPr>
        <w:t xml:space="preserve">Revisão do fechamento anterior. </w:t>
      </w:r>
      <w:r>
        <w:rPr>
          <w:rFonts w:ascii="Exo 2" w:cs="Exo 2" w:eastAsia="Exo 2" w:hAnsi="Exo 2"/>
          <w:color w:val="1A1A1A"/>
          <w:sz w:val="18"/>
          <w:szCs w:val="18"/>
        </w:rPr>
        <w:t xml:space="preserve">A evolução S16 → S17 desta edição foi recalculada nessa mesma régua. A leitura anterior (78% → 91%) comparava bases diferentes: o S16 vinha dos chamados resolvidos na janela e o S17 da coorte da sprint. Na base única, o S16 fica em 72% e o ganho real do mês é de +20 p.p., não +13 p.p.</w:t>
      </w:r>
    </w:p>
    <w:p>
      <w:pPr>
        <w:shd w:fill="002060" w:val="clear"/>
        <w:spacing w:after="90" w:before="190"/>
      </w:pPr>
      <w:r>
        <w:rPr>
          <w:rFonts w:ascii="Exo 2" w:cs="Exo 2" w:eastAsia="Exo 2" w:hAnsi="Exo 2"/>
          <w:b/>
          <w:bCs/>
          <w:color w:val="FFFFFF"/>
          <w:sz w:val="21"/>
          <w:szCs w:val="21"/>
        </w:rPr>
        <w:t xml:space="preserve">  Marcos que movem o ponteiro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002060"/>
          <w:sz w:val="21"/>
          <w:szCs w:val="21"/>
        </w:rPr>
        <w:t xml:space="preserve">Certificados no ar.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Plataforma de certificados concluída de ponta a ponta, da autenticação à geração em massa com envio automático.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002060"/>
          <w:sz w:val="21"/>
          <w:szCs w:val="21"/>
        </w:rPr>
        <w:t xml:space="preserve">Fenasbac IA com a segurança pronta.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A camada de segurança e acesso do agente foi concluída, destravando a evolução do produto para as próximas etapas.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002060"/>
          <w:sz w:val="21"/>
          <w:szCs w:val="21"/>
        </w:rPr>
        <w:t xml:space="preserve">Service Desk mais maduro.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O atendimento ganhou o status que pausa o SLA em dependências de terceiros e teve a experiência do usuário simplificada, tornando a métrica mais justa e a operação mais legível.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002060"/>
          <w:sz w:val="21"/>
          <w:szCs w:val="21"/>
        </w:rPr>
        <w:t xml:space="preserve">Governança que virou artefato.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Documentos de SLA, acessos e processos formalizados; a operação passou a ser reproduzível, menos dependente de pessoas.</w:t>
      </w:r>
    </w:p>
    <w:p>
      <w:pPr>
        <w:shd w:fill="002060" w:val="clear"/>
        <w:spacing w:after="90" w:before="190"/>
      </w:pPr>
      <w:r>
        <w:rPr>
          <w:rFonts w:ascii="Exo 2" w:cs="Exo 2" w:eastAsia="Exo 2" w:hAnsi="Exo 2"/>
          <w:b/>
          <w:bCs/>
          <w:color w:val="FFFFFF"/>
          <w:sz w:val="21"/>
          <w:szCs w:val="21"/>
        </w:rPr>
        <w:t xml:space="preserve">  Impactos e o que precisa de atenção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002060"/>
          <w:sz w:val="21"/>
          <w:szCs w:val="21"/>
        </w:rPr>
        <w:t xml:space="preserve">Conecta — depende de validação.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A formalização da adesão das regionais aguarda a validação do instrumento pela Diretoria e pelo jurídico. É o passo que destrava a expansão.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002060"/>
          <w:sz w:val="21"/>
          <w:szCs w:val="21"/>
        </w:rPr>
        <w:t xml:space="preserve">Dependências com o Marketing.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O site dos 60 Anos e a nova estrutura dos sites de programas aguardam definições da Comunicação. A TI está pronta; o gargalo é externo.</w:t>
      </w:r>
    </w:p>
    <w:p>
      <w:pPr>
        <w:spacing w:after="60"/>
        <w:jc w:val="both"/>
      </w:pPr>
      <w:r>
        <w:rPr>
          <w:rFonts w:ascii="Exo 2" w:cs="Exo 2" w:eastAsia="Exo 2" w:hAnsi="Exo 2"/>
          <w:b/>
          <w:bCs/>
          <w:color w:val="002060"/>
          <w:sz w:val="21"/>
          <w:szCs w:val="21"/>
        </w:rPr>
        <w:t xml:space="preserve">Nova frente de dados e IA. </w:t>
      </w:r>
      <w:r>
        <w:rPr>
          <w:rFonts w:ascii="Exo 2" w:cs="Exo 2" w:eastAsia="Exo 2" w:hAnsi="Exo 2"/>
          <w:color w:val="1A1A1A"/>
          <w:sz w:val="21"/>
          <w:szCs w:val="21"/>
        </w:rPr>
        <w:t xml:space="preserve">O uso estratégico de dados (base unificada) e de IA (Fenasbac IA, Segundo Cérebro) está em construção. É onde a Tecnologia mais pode contribuir com a visão de futuro da Federação, e onde vale foco e patrocínio.</w:t>
      </w:r>
    </w:p>
    <w:p>
      <w:pPr>
        <w:shd w:fill="002060" w:val="clear"/>
        <w:spacing w:after="90" w:before="190"/>
      </w:pPr>
      <w:r>
        <w:rPr>
          <w:rFonts w:ascii="Exo 2" w:cs="Exo 2" w:eastAsia="Exo 2" w:hAnsi="Exo 2"/>
          <w:b/>
          <w:bCs/>
          <w:color w:val="FFFFFF"/>
          <w:sz w:val="21"/>
          <w:szCs w:val="21"/>
        </w:rPr>
        <w:t xml:space="preserve">  Rumo de setembro</w:t>
      </w:r>
    </w:p>
    <w:p>
      <w:pPr>
        <w:spacing w:after="80"/>
        <w:jc w:val="both"/>
      </w:pPr>
      <w:r>
        <w:rPr>
          <w:rFonts w:ascii="Exo 2" w:cs="Exo 2" w:eastAsia="Exo 2" w:hAnsi="Exo 2"/>
          <w:color w:val="1A1A1A"/>
          <w:sz w:val="21"/>
          <w:szCs w:val="21"/>
        </w:rPr>
        <w:t xml:space="preserve">Setembro deve avançar a expansão do Conecta após a validação, iniciar a frente de medição e analytics do funil de inovação, executar a primeira onda do gerenciador de senhas e fechar a governança de acessos do Fenasbac Hub. No campo da maturidade, seguem a revisão das metas de SLA e a evolução dos dashboards de acompanhamento executivo.</w:t>
      </w:r>
    </w:p>
    <w:p>
      <w:pPr>
        <w:spacing w:before="180"/>
      </w:pPr>
      <w:r>
        <w:rPr>
          <w:rFonts w:ascii="Exo 2" w:cs="Exo 2" w:eastAsia="Exo 2" w:hAnsi="Exo 2"/>
          <w:i/>
          <w:iCs/>
          <w:color w:val="595959"/>
          <w:sz w:val="16"/>
          <w:szCs w:val="16"/>
        </w:rPr>
        <w:t xml:space="preserve">Este panorama consolida o mês para a visão de diretoria. Os relatórios quinzenais por sprint seguem sendo enviados por e-mail, com o detalhamento operacional.</w:t>
      </w:r>
    </w:p>
    <w:p>
      <w:r>
        <w:rPr>
          <w:rFonts w:ascii="Exo 2" w:cs="Exo 2" w:eastAsia="Exo 2" w:hAnsi="Exo 2"/>
          <w:i/>
          <w:iCs/>
          <w:color w:val="595959"/>
          <w:sz w:val="15"/>
          <w:szCs w:val="15"/>
        </w:rPr>
        <w:t xml:space="preserve">Números apurados no board das sprints (Jira) e nos campos oficiais de SLA do Service Desk (JSM), sobre a coorte de chamados abertos entre 01 e 31/08/2026.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25EB" w:sz="6" w:space="1"/>
      </w:pBdr>
      <w:spacing w:before="40"/>
    </w:pPr>
    <w:r>
      <w:rPr>
        <w:rFonts w:ascii="Exo 2" w:cs="Exo 2" w:eastAsia="Exo 2" w:hAnsi="Exo 2"/>
        <w:color w:val="595959"/>
        <w:sz w:val="14"/>
        <w:szCs w:val="14"/>
      </w:rPr>
      <w:t xml:space="preserve">SBS Quadra 02, Bloco A, Ed. Casa de São Paulo, 7º andar — Brasília/DF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66675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225EB" w:sz="12" w:space="1"/>
      </w:pBdr>
      <w:spacing w:after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xo 2" w:cs="Exo 2" w:eastAsia="Exo 2" w:hAnsi="Exo 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f9573ecedd0954ab06e0c1b8cfda3bba62c90c4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2026-09-01T14:45:53.682Z</dcterms:created>
  <dcterms:modified xsi:type="dcterms:W3CDTF">2026-09-01T14:45:53.696Z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