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Categories appear as the section headers and the filter pills in the</w:t>
      </w:r>
      <w:r>
        <w:t xml:space="preserve"> </w:t>
      </w:r>
      <w:r>
        <w:t xml:space="preserve">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0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3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0"/>
        </w:numPr>
      </w:pPr>
      <w:r>
        <w:t xml:space="preserve">Does it render raw HTML with external data? → escape it.</w:t>
      </w:r>
    </w:p>
    <w:p>
      <w:pPr>
        <w:numPr>
          <w:ilvl w:val="0"/>
          <w:numId w:val="104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2026-06-04T10:11:17Z</dcterms:created>
  <dcterms:modified xsi:type="dcterms:W3CDTF">2026-06-04T10:11:17Z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