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2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7" w:name="models"/>
    <w:p>
      <w:pPr>
        <w:pStyle w:val="Heading2"/>
      </w:pPr>
      <w:r>
        <w:t xml:space="preserve">Models</w:t>
      </w:r>
    </w:p>
    <w:bookmarkStart w:id="46" w:name="association"/>
    <w:p>
      <w:pPr>
        <w:pStyle w:val="Heading3"/>
      </w:pPr>
      <w:r>
        <w:t xml:space="preserve">Association</w:t>
      </w:r>
    </w:p>
    <w:p>
      <w:pPr>
        <w:pStyle w:val="FirstParagraph"/>
      </w:pPr>
      <w:r>
        <w:t xml:space="preserve">A study association using the system: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 </w:t>
      </w:r>
      <w:r>
        <w:t xml:space="preserve">(SV Dimensie). The id</w:t>
      </w:r>
      <w:r>
        <w:t xml:space="preserve"> </w:t>
      </w:r>
      <w:r>
        <w:t xml:space="preserve">is a fixed slug; rows are created by the migration</w:t>
      </w:r>
      <w:r>
        <w:t xml:space="preserve"> </w:t>
      </w:r>
      <w:r>
        <w:rPr>
          <w:rStyle w:val="VerbatimChar"/>
        </w:rPr>
        <w:t xml:space="preserve">…_associations</w:t>
      </w:r>
      <w:r>
        <w:t xml:space="preserve">. Everything that</w:t>
      </w:r>
      <w:r>
        <w:t xml:space="preserve"> </w:t>
      </w:r>
      <w:r>
        <w:t xml:space="preserve">existed before Dimensie joined belongs to Stress.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(the host) carry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User.associationId</w:t>
      </w:r>
      <w:r>
        <w:t xml:space="preserve"> </w:t>
      </w:r>
      <w:r>
        <w:t xml:space="preserve">is null for the overall admin.</w:t>
      </w:r>
    </w:p>
    <w:bookmarkEnd w:id="46"/>
    <w:bookmarkStart w:id="47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their association's Congressus (Stress: Primary and Secondary;</w:t>
      </w:r>
      <w:r>
        <w:t xml:space="preserve"> </w:t>
      </w:r>
      <w:r>
        <w:t xml:space="preserve">Dimensie: Lid and Extraordinary member). Someone in both associations has one row</w:t>
      </w:r>
      <w:r>
        <w:t xml:space="preserve"> </w:t>
      </w:r>
      <w:r>
        <w:t xml:space="preserve">per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which association (and Congressus) the member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member id,</w:t>
            </w:r>
            <w:r>
              <w:t xml:space="preserve"> </w:t>
            </w:r>
            <w:r>
              <w:rPr>
                <w:b/>
                <w:bCs/>
              </w:rPr>
              <w:t xml:space="preserve">unique per association</w:t>
            </w:r>
            <w:r>
              <w:t xml:space="preserve">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per association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1"/>
    <w:bookmarkStart w:id="52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2"/>
    <w:bookmarkStart w:id="53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5"/>
    <w:bookmarkStart w:id="56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"/>
    <w:bookmarkEnd w:id="57"/>
    <w:bookmarkStart w:id="58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8"/>
    <w:bookmarkStart w:id="59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9"/>
    <w:bookmarkStart w:id="61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60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1"/>
    <w:bookmarkEnd w:id="62"/>
    <w:bookmarkStart w:id="98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3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5" w:name="public"/>
    <w:p>
      <w:pPr>
        <w:pStyle w:val="Heading2"/>
      </w:pPr>
      <w:r>
        <w:t xml:space="preserve">Public</w:t>
      </w:r>
    </w:p>
    <w:bookmarkStart w:id="64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4"/>
    <w:bookmarkStart w:id="65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5"/>
    <w:bookmarkStart w:id="66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6"/>
    <w:bookmarkStart w:id="67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7"/>
    <w:bookmarkStart w:id="68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8"/>
    <w:bookmarkStart w:id="69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9"/>
    <w:bookmarkStart w:id="70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70"/>
    <w:bookmarkStart w:id="71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1"/>
    <w:bookmarkStart w:id="72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2"/>
    <w:bookmarkStart w:id="73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3"/>
    <w:bookmarkStart w:id="74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auth"/>
    <w:p>
      <w:pPr>
        <w:pStyle w:val="Heading2"/>
      </w:pPr>
      <w:r>
        <w:t xml:space="preserve">Auth</w:t>
      </w:r>
    </w:p>
    <w:bookmarkStart w:id="76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6"/>
    <w:bookmarkStart w:id="77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7" w:name="admin--all-require-an-admin-session"/>
    <w:p>
      <w:pPr>
        <w:pStyle w:val="Heading2"/>
      </w:pPr>
      <w:r>
        <w:t xml:space="preserve">Admin — all require an admin session</w:t>
      </w:r>
    </w:p>
    <w:bookmarkStart w:id="79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9"/>
    <w:bookmarkStart w:id="80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80"/>
    <w:bookmarkStart w:id="81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1"/>
    <w:bookmarkStart w:id="82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2"/>
    <w:bookmarkStart w:id="83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3"/>
    <w:bookmarkStart w:id="84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4"/>
    <w:bookmarkStart w:id="85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5"/>
    <w:bookmarkStart w:id="86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6"/>
    <w:bookmarkStart w:id="87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7"/>
    <w:bookmarkStart w:id="88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8"/>
    <w:bookmarkStart w:id="89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9"/>
    <w:bookmarkStart w:id="90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90"/>
    <w:bookmarkStart w:id="91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1"/>
    <w:bookmarkStart w:id="92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2"/>
    <w:bookmarkStart w:id="93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4"/>
    <w:bookmarkStart w:id="95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5"/>
    <w:bookmarkStart w:id="96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6"/>
    <w:bookmarkEnd w:id="97"/>
    <w:bookmarkEnd w:id="98"/>
    <w:bookmarkStart w:id="110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9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9"/>
    <w:bookmarkStart w:id="10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Bearer token for SV Dimensie's Congressus. Without it the Dimensie sync/export is unavailable. Never give staging a real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100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100"/>
    <w:bookmarkStart w:id="101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1"/>
    <w:bookmarkStart w:id="102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2"/>
    <w:bookmarkEnd w:id="103"/>
    <w:bookmarkStart w:id="104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4"/>
    <w:bookmarkStart w:id="105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5"/>
    <w:bookmarkStart w:id="106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6"/>
    <w:bookmarkStart w:id="107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7"/>
    <w:bookmarkStart w:id="109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8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9"/>
    <w:bookmarkEnd w:id="110"/>
    <w:bookmarkStart w:id="121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1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1"/>
    <w:bookmarkStart w:id="113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2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3"/>
    <w:bookmarkStart w:id="114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4"/>
    <w:bookmarkStart w:id="115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5"/>
    <w:bookmarkStart w:id="118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6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6"/>
    <w:bookmarkStart w:id="117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7"/>
    <w:bookmarkEnd w:id="118"/>
    <w:bookmarkStart w:id="119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9"/>
    <w:bookmarkStart w:id="120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20"/>
    <w:bookmarkEnd w:id="121"/>
    <w:bookmarkStart w:id="131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One Congressus per association.</w:t>
      </w:r>
      <w:r>
        <w:t xml:space="preserve"> </w:t>
      </w:r>
      <w:r>
        <w:t xml:space="preserve">Stress and SV Dimensie each have their own</w:t>
      </w:r>
      <w:r>
        <w:t xml:space="preserve"> </w:t>
      </w:r>
      <w:r>
        <w:t xml:space="preserve">Congressus;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 </w:t>
      </w:r>
      <w:r>
        <w:t xml:space="preserve">holds a config per association (</w:t>
      </w:r>
      <w:r>
        <w:rPr>
          <w:rStyle w:val="VerbatimChar"/>
        </w:rPr>
        <w:t xml:space="preserve">CONFIG</w:t>
      </w:r>
      <w:r>
        <w:t xml:space="preserve">) and</w:t>
      </w:r>
      <w:r>
        <w:t xml:space="preserve"> </w:t>
      </w:r>
      <w:r>
        <w:t xml:space="preserve">every call names the association it talks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 member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1845</w:t>
            </w:r>
            <w:r>
              <w:t xml:space="preserve"> </w:t>
            </w:r>
            <w:r>
              <w:t xml:space="preserve">Primary,</w:t>
            </w:r>
            <w:r>
              <w:t xml:space="preserve"> </w:t>
            </w:r>
            <w:r>
              <w:rPr>
                <w:rStyle w:val="VerbatimChar"/>
              </w:rPr>
              <w:t xml:space="preserve">1844</w:t>
            </w:r>
            <w:r>
              <w:t xml:space="preserve"> </w:t>
            </w: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1588</w:t>
            </w:r>
            <w:r>
              <w:t xml:space="preserve"> </w:t>
            </w:r>
            <w:r>
              <w:t xml:space="preserve">Lid,</w:t>
            </w:r>
            <w:r>
              <w:t xml:space="preserve"> </w:t>
            </w:r>
            <w:r>
              <w:rPr>
                <w:rStyle w:val="VerbatimChar"/>
              </w:rPr>
              <w:t xml:space="preserve">1671</w:t>
            </w:r>
            <w:r>
              <w:t xml:space="preserve"> </w:t>
            </w:r>
            <w:r>
              <w:t xml:space="preserve">Extraordinary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workflow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605</w:t>
            </w:r>
            <w:r>
              <w:t xml:space="preserve"> </w:t>
            </w:r>
            <w:r>
              <w:t xml:space="preserve">(Contribution)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CONGRESSUS_DIMENSIE_WORKFLOW_ID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debit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SSS (snacks)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5952</w:t>
            </w:r>
          </w:p>
        </w:tc>
        <w:tc>
          <w:tcPr/>
          <w:p>
            <w:pPr>
              <w:pStyle w:val="Compact"/>
            </w:pPr>
            <w:r>
              <w:t xml:space="preserve">– (no kiosk)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PPP (drinks)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CONGRESSUS_PPP_FOLDER_ID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CONGRESSUS_PPP_FOLDER_ID_DIMENSIE</w:t>
            </w:r>
            <w:r>
              <w:t xml:space="preserve"> </w:t>
            </w:r>
            <w:r>
              <w:t xml:space="preserve">(not created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  <w:r>
              <w:t xml:space="preserve"> </w:t>
            </w:r>
            <w:r>
              <w:t xml:space="preserve">"SSS purchases Mendix"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CONGRESSUS_PRODUCT_OFFER_ID_DIMENSIE</w:t>
            </w:r>
            <w:r>
              <w:t xml:space="preserve"> </w:t>
            </w:r>
            <w:r>
              <w:t xml:space="preserve">(none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on products</w:t>
            </w:r>
          </w:p>
        </w:tc>
        <w:tc>
          <w:tcPr/>
          <w:p>
            <w:pPr>
              <w:pStyle w:val="Compact"/>
            </w:pPr>
            <w:r>
              <w:t xml:space="preserve">yes (VL 9% / VH 21%)</w:t>
            </w:r>
          </w:p>
        </w:tc>
        <w:tc>
          <w:tcPr/>
          <w:p>
            <w:pPr>
              <w:pStyle w:val="Compact"/>
            </w:pPr>
            <w:r>
              <w:t xml:space="preserve">none — Dimensie doesn't do VAT</w:t>
            </w:r>
          </w:p>
        </w:tc>
      </w:tr>
    </w:tbl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2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Stress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 Dimensie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fetchAllMembers(association)</w:t>
      </w:r>
      <w:r>
        <w:t xml:space="preserve">,</w:t>
      </w:r>
      <w:r>
        <w:t xml:space="preserve"> </w:t>
      </w:r>
      <w:r>
        <w:t xml:space="preserve">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that association's statuses and</w:t>
      </w:r>
      <w:r>
        <w:t xml:space="preserve"> </w:t>
      </w:r>
      <w:r>
        <w:t xml:space="preserve">upserts each by (association,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). Everything stays within the one</w:t>
      </w:r>
      <w:r>
        <w:t xml:space="preserve"> </w:t>
      </w:r>
      <w:r>
        <w:t xml:space="preserve">association: the email clash check, and the clean-up of members no longer in that</w:t>
      </w:r>
      <w:r>
        <w:t xml:space="preserve"> </w:t>
      </w:r>
      <w:r>
        <w:t xml:space="preserve">Congressus — syncing Stress never deletes or deactivates a Dimensie member. Someone</w:t>
      </w:r>
      <w:r>
        <w:t xml:space="preserve"> </w:t>
      </w:r>
      <w:r>
        <w:t xml:space="preserve">in both associations has one member row per association (Congressus ids are per</w:t>
      </w:r>
      <w:r>
        <w:t xml:space="preserve"> </w:t>
      </w:r>
      <w:r>
        <w:t xml:space="preserve">instance, so the same id can belong to different people).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2"/>
    <w:bookmarkStart w:id="125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3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3"/>
    <w:bookmarkStart w:id="124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4"/>
    <w:bookmarkEnd w:id="125"/>
    <w:bookmarkStart w:id="127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6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6"/>
    <w:bookmarkEnd w:id="127"/>
    <w:bookmarkStart w:id="128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8"/>
    <w:bookmarkStart w:id="129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9"/>
    <w:bookmarkStart w:id="130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30"/>
    <w:bookmarkEnd w:id="131"/>
    <w:bookmarkStart w:id="140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2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2"/>
    <w:bookmarkStart w:id="133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email; filter on</w:t>
      </w:r>
      <w:r>
        <w:t xml:space="preserve"> </w:t>
      </w:r>
      <w:r>
        <w:rPr>
          <w:b/>
          <w:bCs/>
        </w:rPr>
        <w:t xml:space="preserve">All / Stress / Dimensie</w:t>
      </w:r>
      <w:r>
        <w:t xml:space="preserve">. Dimensie members</w:t>
      </w:r>
      <w:r>
        <w:t xml:space="preserve"> </w:t>
      </w:r>
      <w:r>
        <w:t xml:space="preserve">carry a "Dimensie" badge; they can't use the snack kiosk (no "Enter store") and can</w:t>
      </w:r>
      <w:r>
        <w:t xml:space="preserve"> </w:t>
      </w:r>
      <w:r>
        <w:t xml:space="preserve">only get Dimensie roles.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Stress / Sync Dimensie</w:t>
      </w:r>
      <w:r>
        <w:t xml:space="preserve"> </w:t>
      </w:r>
      <w:r>
        <w:t xml:space="preserve">— each syncs one association from its own</w:t>
      </w:r>
      <w:r>
        <w:t xml:space="preserve"> </w:t>
      </w:r>
      <w:r>
        <w:t xml:space="preserve">Congressus (Dimensie: Lid and Extraordinary member) and only cleans up within that</w:t>
      </w:r>
      <w:r>
        <w:t xml:space="preserve"> </w:t>
      </w:r>
      <w:r>
        <w:t xml:space="preserve">association. The rest of this paragraph describes the Stress sync, which</w:t>
      </w:r>
      <w:r>
        <w:t xml:space="preserve"> </w:t>
      </w:r>
      <w:r>
        <w:t xml:space="preserve">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3"/>
    <w:bookmarkStart w:id="134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4"/>
    <w:bookmarkStart w:id="135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5"/>
    <w:bookmarkStart w:id="136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1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6"/>
    <w:bookmarkStart w:id="137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2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7"/>
    <w:bookmarkStart w:id="138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3"/>
        </w:numPr>
      </w:pPr>
      <w:r>
        <w:t xml:space="preserve">Verify the new invoices in Congressus.</w:t>
      </w:r>
    </w:p>
    <w:bookmarkEnd w:id="138"/>
    <w:bookmarkStart w:id="139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9"/>
    <w:bookmarkEnd w:id="140"/>
    <w:bookmarkStart w:id="164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1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1"/>
    <w:bookmarkStart w:id="144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6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3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2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2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3"/>
    <w:bookmarkEnd w:id="144"/>
    <w:bookmarkStart w:id="151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5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5"/>
    <w:bookmarkStart w:id="146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6"/>
    <w:bookmarkStart w:id="147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7"/>
    <w:bookmarkStart w:id="148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8"/>
    <w:bookmarkStart w:id="149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9"/>
    <w:bookmarkStart w:id="150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9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9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50"/>
    <w:bookmarkEnd w:id="151"/>
    <w:bookmarkStart w:id="152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2"/>
    <w:bookmarkStart w:id="153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1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1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3"/>
    <w:bookmarkStart w:id="154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2"/>
        </w:numPr>
      </w:pPr>
      <w:r>
        <w:t xml:space="preserve">a toggle picker per member).</w:t>
      </w:r>
    </w:p>
    <w:bookmarkEnd w:id="154"/>
    <w:bookmarkStart w:id="155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5"/>
    <w:bookmarkStart w:id="156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6"/>
    <w:bookmarkStart w:id="157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7"/>
    <w:bookmarkStart w:id="158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8"/>
    <w:bookmarkStart w:id="159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9"/>
    <w:bookmarkStart w:id="161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60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8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1"/>
    <w:bookmarkStart w:id="162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2"/>
    <w:bookmarkStart w:id="163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3"/>
    <w:bookmarkEnd w:id="164"/>
    <w:bookmarkStart w:id="180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9" w:name="authentication--authorisation"/>
    <w:p>
      <w:pPr>
        <w:pStyle w:val="Heading2"/>
      </w:pPr>
      <w:r>
        <w:t xml:space="preserve">Authentication &amp; authorisation</w:t>
      </w:r>
    </w:p>
    <w:bookmarkStart w:id="165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9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9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9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5"/>
    <w:bookmarkStart w:id="166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0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0"/>
        </w:numPr>
      </w:pPr>
      <w:r>
        <w:t xml:space="preserve">Plus the client-side idle sign-out after 1 h without orders (see PPP.md).</w:t>
      </w:r>
    </w:p>
    <w:bookmarkEnd w:id="166"/>
    <w:bookmarkStart w:id="16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1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7"/>
    <w:bookmarkStart w:id="16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8"/>
    <w:bookmarkEnd w:id="169"/>
    <w:bookmarkStart w:id="17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70"/>
    <w:bookmarkStart w:id="17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1"/>
    <w:bookmarkStart w:id="17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3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3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3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2"/>
    <w:bookmarkStart w:id="173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3"/>
    <w:bookmarkStart w:id="177" w:name="deliberate-trade-offs"/>
    <w:p>
      <w:pPr>
        <w:pStyle w:val="Heading2"/>
      </w:pPr>
      <w:r>
        <w:t xml:space="preserve">Deliberate trade-offs</w:t>
      </w:r>
    </w:p>
    <w:bookmarkStart w:id="174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4"/>
    <w:bookmarkStart w:id="175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5"/>
    <w:bookmarkStart w:id="176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6"/>
    <w:bookmarkEnd w:id="177"/>
    <w:bookmarkStart w:id="178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8"/>
    <w:bookmarkStart w:id="179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5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6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7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8"/>
        </w:numPr>
      </w:pPr>
      <w:r>
        <w:t xml:space="preserve">Does it render raw HTML with external data? → escape it.</w:t>
      </w:r>
    </w:p>
    <w:p>
      <w:pPr>
        <w:numPr>
          <w:ilvl w:val="0"/>
          <w:numId w:val="1069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2" Target="CARD_READER.md" TargetMode="External" /><Relationship Type="http://schemas.openxmlformats.org/officeDocument/2006/relationships/hyperlink" Id="rId108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60" Target="DATA_MODEL.md" TargetMode="External" /><Relationship Type="http://schemas.openxmlformats.org/officeDocument/2006/relationships/hyperlink" Id="rId60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3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2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CARD_READER.md" TargetMode="External" /><Relationship Type="http://schemas.openxmlformats.org/officeDocument/2006/relationships/hyperlink" Id="rId108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60" Target="DATA_MODEL.md" TargetMode="External" /><Relationship Type="http://schemas.openxmlformats.org/officeDocument/2006/relationships/hyperlink" Id="rId60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3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2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2026-10-22T21:43:25Z</dcterms:created>
  <dcterms:modified xsi:type="dcterms:W3CDTF">2026-10-22T21:43:25Z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