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DDC92" w14:textId="2AA18564" w:rsidR="008F2CA3" w:rsidRPr="00081B45" w:rsidRDefault="008F2CA3" w:rsidP="00351A71">
      <w:pPr>
        <w:spacing w:after="0" w:line="276" w:lineRule="auto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Growth curves for </w:t>
      </w:r>
      <w:r w:rsidRPr="00C171D3">
        <w:rPr>
          <w:rFonts w:ascii="Calibri" w:hAnsi="Calibri" w:cs="Calibri"/>
          <w:b/>
          <w:bCs/>
          <w:sz w:val="24"/>
          <w:szCs w:val="24"/>
          <w:u w:val="single"/>
        </w:rPr>
        <w:t>Δ</w:t>
      </w:r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="00C171D3"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(WT)</w:t>
      </w:r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and </w:t>
      </w:r>
      <w:r w:rsidRPr="00C171D3">
        <w:rPr>
          <w:rFonts w:ascii="Calibri" w:hAnsi="Calibri" w:cs="Calibri"/>
          <w:b/>
          <w:bCs/>
          <w:sz w:val="24"/>
          <w:szCs w:val="24"/>
          <w:u w:val="single"/>
        </w:rPr>
        <w:t>Δ</w:t>
      </w:r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C171D3">
        <w:rPr>
          <w:rFonts w:ascii="Calibri" w:hAnsi="Calibri" w:cs="Calibri"/>
          <w:b/>
          <w:bCs/>
          <w:sz w:val="24"/>
          <w:szCs w:val="24"/>
          <w:u w:val="single"/>
        </w:rPr>
        <w:t>Δ</w:t>
      </w:r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>spoIIE (</w:t>
      </w:r>
      <w:proofErr w:type="spellStart"/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>erm</w:t>
      </w:r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  <w:vertAlign w:val="superscript"/>
        </w:rPr>
        <w:t>S</w:t>
      </w:r>
      <w:proofErr w:type="spellEnd"/>
      <w:r w:rsidRPr="00C171D3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</w:p>
    <w:p w14:paraId="115F3987" w14:textId="145A2FAE" w:rsidR="00C171D3" w:rsidRDefault="008F2CA3" w:rsidP="000147B8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received</w:t>
      </w:r>
      <w:r w:rsidRPr="008F2CA3">
        <w:rPr>
          <w:rFonts w:asciiTheme="majorBidi" w:hAnsiTheme="majorBidi" w:cstheme="majorBidi"/>
          <w:sz w:val="24"/>
          <w:szCs w:val="24"/>
        </w:rPr>
        <w:t xml:space="preserve"> a </w:t>
      </w:r>
      <w:r w:rsidRPr="008F2CA3">
        <w:rPr>
          <w:rFonts w:asciiTheme="majorBidi" w:hAnsiTheme="majorBidi" w:cstheme="majorBidi"/>
          <w:i/>
          <w:iCs/>
          <w:sz w:val="24"/>
          <w:szCs w:val="24"/>
        </w:rPr>
        <w:t>B. subtilis</w:t>
      </w:r>
      <w:r w:rsidRPr="008F2CA3">
        <w:rPr>
          <w:rFonts w:asciiTheme="majorBidi" w:hAnsiTheme="majorBidi" w:cstheme="majorBidi"/>
          <w:sz w:val="24"/>
          <w:szCs w:val="24"/>
        </w:rPr>
        <w:t xml:space="preserve"> 168Δ</w:t>
      </w:r>
      <w:proofErr w:type="gramStart"/>
      <w:r w:rsidRPr="008F2CA3">
        <w:rPr>
          <w:rFonts w:asciiTheme="majorBidi" w:hAnsiTheme="majorBidi" w:cstheme="majorBidi"/>
          <w:sz w:val="24"/>
          <w:szCs w:val="24"/>
        </w:rPr>
        <w:t>spoIIE::</w:t>
      </w:r>
      <w:proofErr w:type="gramEnd"/>
      <w:r w:rsidRPr="008F2CA3">
        <w:rPr>
          <w:rFonts w:asciiTheme="majorBidi" w:hAnsiTheme="majorBidi" w:cstheme="majorBidi"/>
          <w:sz w:val="24"/>
          <w:szCs w:val="24"/>
        </w:rPr>
        <w:t xml:space="preserve">erm strain from the BGSC (BKE00640). Using SPP1 transduction the </w:t>
      </w:r>
      <w:proofErr w:type="spellStart"/>
      <w:r w:rsidRPr="008F2CA3">
        <w:rPr>
          <w:rFonts w:asciiTheme="majorBidi" w:hAnsiTheme="majorBidi" w:cstheme="majorBidi"/>
          <w:sz w:val="24"/>
          <w:szCs w:val="24"/>
        </w:rPr>
        <w:t>Δ</w:t>
      </w:r>
      <w:proofErr w:type="gramStart"/>
      <w:r w:rsidRPr="008F2CA3">
        <w:rPr>
          <w:rFonts w:asciiTheme="majorBidi" w:hAnsiTheme="majorBidi" w:cstheme="majorBidi"/>
          <w:sz w:val="24"/>
          <w:szCs w:val="24"/>
        </w:rPr>
        <w:t>spoIIE:erm</w:t>
      </w:r>
      <w:proofErr w:type="spellEnd"/>
      <w:proofErr w:type="gramEnd"/>
      <w:r w:rsidRPr="008F2CA3">
        <w:rPr>
          <w:rFonts w:asciiTheme="majorBidi" w:hAnsiTheme="majorBidi" w:cstheme="majorBidi"/>
          <w:sz w:val="24"/>
          <w:szCs w:val="24"/>
        </w:rPr>
        <w:t xml:space="preserve"> locus was </w:t>
      </w:r>
      <w:proofErr w:type="spellStart"/>
      <w:r w:rsidRPr="008F2CA3">
        <w:rPr>
          <w:rFonts w:asciiTheme="majorBidi" w:hAnsiTheme="majorBidi" w:cstheme="majorBidi"/>
          <w:sz w:val="24"/>
          <w:szCs w:val="24"/>
        </w:rPr>
        <w:t>tansfereed</w:t>
      </w:r>
      <w:proofErr w:type="spellEnd"/>
      <w:r w:rsidRPr="008F2CA3">
        <w:rPr>
          <w:rFonts w:asciiTheme="majorBidi" w:hAnsiTheme="majorBidi" w:cstheme="majorBidi"/>
          <w:sz w:val="24"/>
          <w:szCs w:val="24"/>
        </w:rPr>
        <w:t xml:space="preserve"> to the </w:t>
      </w:r>
      <w:r w:rsidRPr="008F2CA3">
        <w:rPr>
          <w:rFonts w:asciiTheme="majorBidi" w:hAnsiTheme="majorBidi" w:cstheme="majorBidi"/>
          <w:i/>
          <w:iCs/>
          <w:sz w:val="24"/>
          <w:szCs w:val="24"/>
        </w:rPr>
        <w:t>B. subtilis</w:t>
      </w:r>
      <w:r w:rsidRPr="008F2CA3">
        <w:rPr>
          <w:rFonts w:asciiTheme="majorBidi" w:hAnsiTheme="majorBidi" w:cstheme="majorBidi"/>
          <w:sz w:val="24"/>
          <w:szCs w:val="24"/>
        </w:rPr>
        <w:t xml:space="preserve"> 168Δ6 strain to give Δ6ΔspoIIE (</w:t>
      </w:r>
      <w:proofErr w:type="spellStart"/>
      <w:r w:rsidRPr="008F2CA3">
        <w:rPr>
          <w:rFonts w:asciiTheme="majorBidi" w:hAnsiTheme="majorBidi" w:cstheme="majorBidi"/>
          <w:sz w:val="24"/>
          <w:szCs w:val="24"/>
        </w:rPr>
        <w:t>erm</w:t>
      </w:r>
      <w:r w:rsidRPr="008F2CA3">
        <w:rPr>
          <w:rFonts w:asciiTheme="majorBidi" w:hAnsiTheme="majorBidi" w:cstheme="majorBidi"/>
          <w:sz w:val="24"/>
          <w:szCs w:val="24"/>
          <w:vertAlign w:val="superscript"/>
        </w:rPr>
        <w:t>R</w:t>
      </w:r>
      <w:proofErr w:type="spellEnd"/>
      <w:r w:rsidRPr="008F2CA3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. By expressing a </w:t>
      </w:r>
      <w:proofErr w:type="spellStart"/>
      <w:r>
        <w:rPr>
          <w:rFonts w:asciiTheme="majorBidi" w:hAnsiTheme="majorBidi" w:cstheme="majorBidi"/>
          <w:sz w:val="24"/>
          <w:szCs w:val="24"/>
        </w:rPr>
        <w:t>cre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-recombinase from plasmid pDR244 the erm resistance gene was removed from this </w:t>
      </w:r>
      <w:r w:rsidR="00C171D3">
        <w:rPr>
          <w:rFonts w:asciiTheme="majorBidi" w:hAnsiTheme="majorBidi" w:cstheme="majorBidi"/>
          <w:sz w:val="24"/>
          <w:szCs w:val="24"/>
        </w:rPr>
        <w:t>strain and</w:t>
      </w:r>
      <w:r>
        <w:rPr>
          <w:rFonts w:asciiTheme="majorBidi" w:hAnsiTheme="majorBidi" w:cstheme="majorBidi"/>
          <w:sz w:val="24"/>
          <w:szCs w:val="24"/>
        </w:rPr>
        <w:t xml:space="preserve"> using the plasmid temperature-sensitivity the strain was </w:t>
      </w:r>
      <w:r w:rsidR="00C171D3">
        <w:rPr>
          <w:rFonts w:asciiTheme="majorBidi" w:hAnsiTheme="majorBidi" w:cstheme="majorBidi"/>
          <w:sz w:val="24"/>
          <w:szCs w:val="24"/>
        </w:rPr>
        <w:t xml:space="preserve">then </w:t>
      </w:r>
      <w:r>
        <w:rPr>
          <w:rFonts w:asciiTheme="majorBidi" w:hAnsiTheme="majorBidi" w:cstheme="majorBidi"/>
          <w:sz w:val="24"/>
          <w:szCs w:val="24"/>
        </w:rPr>
        <w:t xml:space="preserve">cured from the plasmid. This </w:t>
      </w:r>
      <w:r w:rsidR="00C171D3">
        <w:rPr>
          <w:rFonts w:asciiTheme="majorBidi" w:hAnsiTheme="majorBidi" w:cstheme="majorBidi"/>
          <w:sz w:val="24"/>
          <w:szCs w:val="24"/>
        </w:rPr>
        <w:t>yielded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171D3">
        <w:rPr>
          <w:rFonts w:asciiTheme="majorBidi" w:hAnsiTheme="majorBidi" w:cstheme="majorBidi"/>
          <w:sz w:val="24"/>
          <w:szCs w:val="24"/>
        </w:rPr>
        <w:t xml:space="preserve">a </w:t>
      </w:r>
      <w:r w:rsidR="00C171D3" w:rsidRPr="00C171D3">
        <w:rPr>
          <w:rFonts w:ascii="Calibri" w:hAnsi="Calibri" w:cs="Calibri"/>
          <w:sz w:val="24"/>
          <w:szCs w:val="24"/>
        </w:rPr>
        <w:t>Δ</w:t>
      </w:r>
      <w:r w:rsidR="00C171D3" w:rsidRPr="00C171D3">
        <w:rPr>
          <w:rFonts w:asciiTheme="majorBidi" w:hAnsiTheme="majorBidi" w:cstheme="majorBidi"/>
          <w:sz w:val="24"/>
          <w:szCs w:val="24"/>
        </w:rPr>
        <w:t>6</w:t>
      </w:r>
      <w:r w:rsidR="00C171D3" w:rsidRPr="00C171D3">
        <w:rPr>
          <w:rFonts w:ascii="Calibri" w:hAnsi="Calibri" w:cs="Calibri"/>
          <w:sz w:val="24"/>
          <w:szCs w:val="24"/>
        </w:rPr>
        <w:t>Δ</w:t>
      </w:r>
      <w:r w:rsidR="00C171D3" w:rsidRPr="00C171D3">
        <w:rPr>
          <w:rFonts w:asciiTheme="majorBidi" w:hAnsiTheme="majorBidi" w:cstheme="majorBidi"/>
          <w:sz w:val="24"/>
          <w:szCs w:val="24"/>
        </w:rPr>
        <w:t>spoIIE (</w:t>
      </w:r>
      <w:proofErr w:type="spellStart"/>
      <w:r w:rsidR="00C171D3" w:rsidRPr="00C171D3">
        <w:rPr>
          <w:rFonts w:asciiTheme="majorBidi" w:hAnsiTheme="majorBidi" w:cstheme="majorBidi"/>
          <w:sz w:val="24"/>
          <w:szCs w:val="24"/>
        </w:rPr>
        <w:t>erm</w:t>
      </w:r>
      <w:r w:rsidR="00C171D3" w:rsidRPr="00C171D3">
        <w:rPr>
          <w:rFonts w:asciiTheme="majorBidi" w:hAnsiTheme="majorBidi" w:cstheme="majorBidi"/>
          <w:sz w:val="24"/>
          <w:szCs w:val="24"/>
          <w:vertAlign w:val="superscript"/>
        </w:rPr>
        <w:t>S</w:t>
      </w:r>
      <w:proofErr w:type="spellEnd"/>
      <w:r w:rsidR="00C171D3" w:rsidRPr="00C171D3">
        <w:rPr>
          <w:rFonts w:asciiTheme="majorBidi" w:hAnsiTheme="majorBidi" w:cstheme="majorBidi"/>
          <w:sz w:val="24"/>
          <w:szCs w:val="24"/>
        </w:rPr>
        <w:t>)</w:t>
      </w:r>
      <w:r w:rsidR="00C171D3">
        <w:rPr>
          <w:rFonts w:asciiTheme="majorBidi" w:hAnsiTheme="majorBidi" w:cstheme="majorBidi"/>
          <w:sz w:val="24"/>
          <w:szCs w:val="24"/>
        </w:rPr>
        <w:t xml:space="preserve">, a </w:t>
      </w:r>
      <w:r>
        <w:rPr>
          <w:rFonts w:ascii="Calibri" w:hAnsi="Calibri" w:cs="Calibri"/>
          <w:sz w:val="24"/>
          <w:szCs w:val="24"/>
        </w:rPr>
        <w:t>Δ</w:t>
      </w:r>
      <w:r>
        <w:rPr>
          <w:rFonts w:asciiTheme="majorBidi" w:hAnsiTheme="majorBidi" w:cstheme="majorBidi"/>
          <w:sz w:val="24"/>
          <w:szCs w:val="24"/>
        </w:rPr>
        <w:t xml:space="preserve">6 derivative lacking </w:t>
      </w:r>
      <w:proofErr w:type="spellStart"/>
      <w:r>
        <w:rPr>
          <w:rFonts w:asciiTheme="majorBidi" w:hAnsiTheme="majorBidi" w:cstheme="majorBidi"/>
          <w:sz w:val="24"/>
          <w:szCs w:val="24"/>
        </w:rPr>
        <w:t>spoIIE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which does not carry an a</w:t>
      </w:r>
      <w:r w:rsidR="00C171D3">
        <w:rPr>
          <w:rFonts w:asciiTheme="majorBidi" w:hAnsiTheme="majorBidi" w:cstheme="majorBidi"/>
          <w:sz w:val="24"/>
          <w:szCs w:val="24"/>
        </w:rPr>
        <w:t>dd</w:t>
      </w:r>
      <w:r>
        <w:rPr>
          <w:rFonts w:asciiTheme="majorBidi" w:hAnsiTheme="majorBidi" w:cstheme="majorBidi"/>
          <w:sz w:val="24"/>
          <w:szCs w:val="24"/>
        </w:rPr>
        <w:t>itional antibiotic resistance gene compared to its ancestor.</w:t>
      </w:r>
      <w:r w:rsidR="00C171D3">
        <w:rPr>
          <w:rFonts w:asciiTheme="majorBidi" w:hAnsiTheme="majorBidi" w:cstheme="majorBidi"/>
          <w:sz w:val="24"/>
          <w:szCs w:val="24"/>
        </w:rPr>
        <w:t xml:space="preserve"> The purpose of removing the antibiotic resistance gene is to eliminate the fitness the strain </w:t>
      </w:r>
      <w:proofErr w:type="gramStart"/>
      <w:r w:rsidR="00C171D3">
        <w:rPr>
          <w:rFonts w:asciiTheme="majorBidi" w:hAnsiTheme="majorBidi" w:cstheme="majorBidi"/>
          <w:sz w:val="24"/>
          <w:szCs w:val="24"/>
        </w:rPr>
        <w:t>remove</w:t>
      </w:r>
      <w:proofErr w:type="gramEnd"/>
      <w:r w:rsidR="00C171D3">
        <w:rPr>
          <w:rFonts w:asciiTheme="majorBidi" w:hAnsiTheme="majorBidi" w:cstheme="majorBidi"/>
          <w:sz w:val="24"/>
          <w:szCs w:val="24"/>
        </w:rPr>
        <w:t xml:space="preserve"> the fitness cost associated with </w:t>
      </w:r>
      <w:proofErr w:type="spellStart"/>
      <w:r w:rsidR="00C171D3">
        <w:rPr>
          <w:rFonts w:asciiTheme="majorBidi" w:hAnsiTheme="majorBidi" w:cstheme="majorBidi"/>
          <w:sz w:val="24"/>
          <w:szCs w:val="24"/>
        </w:rPr>
        <w:t>experession</w:t>
      </w:r>
      <w:proofErr w:type="spellEnd"/>
      <w:r w:rsidR="00C171D3">
        <w:rPr>
          <w:rFonts w:asciiTheme="majorBidi" w:hAnsiTheme="majorBidi" w:cstheme="majorBidi"/>
          <w:sz w:val="24"/>
          <w:szCs w:val="24"/>
        </w:rPr>
        <w:t xml:space="preserve"> of that gene, so as to make fitness of </w:t>
      </w:r>
      <w:proofErr w:type="spellStart"/>
      <w:r w:rsidR="00C171D3">
        <w:rPr>
          <w:rFonts w:ascii="Calibri" w:hAnsi="Calibri" w:cs="Calibri"/>
          <w:sz w:val="24"/>
          <w:szCs w:val="24"/>
        </w:rPr>
        <w:t>Δ</w:t>
      </w:r>
      <w:r w:rsidR="00C171D3">
        <w:rPr>
          <w:rFonts w:asciiTheme="majorBidi" w:hAnsiTheme="majorBidi" w:cstheme="majorBidi"/>
          <w:sz w:val="24"/>
          <w:szCs w:val="24"/>
        </w:rPr>
        <w:t>spoIIE</w:t>
      </w:r>
      <w:proofErr w:type="spellEnd"/>
      <w:r w:rsidR="00C171D3">
        <w:rPr>
          <w:rFonts w:asciiTheme="majorBidi" w:hAnsiTheme="majorBidi" w:cstheme="majorBidi"/>
          <w:sz w:val="24"/>
          <w:szCs w:val="24"/>
        </w:rPr>
        <w:t xml:space="preserve"> and WT equal.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171D3">
        <w:rPr>
          <w:rFonts w:asciiTheme="majorBidi" w:hAnsiTheme="majorBidi" w:cstheme="majorBidi"/>
          <w:sz w:val="24"/>
          <w:szCs w:val="24"/>
        </w:rPr>
        <w:t>We note that both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171D3">
        <w:rPr>
          <w:rFonts w:ascii="Calibri" w:hAnsi="Calibri" w:cs="Calibri"/>
          <w:sz w:val="24"/>
          <w:szCs w:val="24"/>
        </w:rPr>
        <w:t>Δ</w:t>
      </w:r>
      <w:r w:rsidR="00C171D3">
        <w:rPr>
          <w:rFonts w:asciiTheme="majorBidi" w:hAnsiTheme="majorBidi" w:cstheme="majorBidi"/>
          <w:sz w:val="24"/>
          <w:szCs w:val="24"/>
        </w:rPr>
        <w:t xml:space="preserve">6 and </w:t>
      </w:r>
      <w:r w:rsidR="00C171D3" w:rsidRPr="00C171D3">
        <w:rPr>
          <w:rFonts w:ascii="Calibri" w:hAnsi="Calibri" w:cs="Calibri"/>
          <w:sz w:val="24"/>
          <w:szCs w:val="24"/>
        </w:rPr>
        <w:t>Δ</w:t>
      </w:r>
      <w:r w:rsidR="00C171D3" w:rsidRPr="00C171D3">
        <w:rPr>
          <w:rFonts w:asciiTheme="majorBidi" w:hAnsiTheme="majorBidi" w:cstheme="majorBidi"/>
          <w:sz w:val="24"/>
          <w:szCs w:val="24"/>
        </w:rPr>
        <w:t>6</w:t>
      </w:r>
      <w:r w:rsidR="00C171D3" w:rsidRPr="00C171D3">
        <w:rPr>
          <w:rFonts w:ascii="Calibri" w:hAnsi="Calibri" w:cs="Calibri"/>
          <w:sz w:val="24"/>
          <w:szCs w:val="24"/>
        </w:rPr>
        <w:t>Δ</w:t>
      </w:r>
      <w:r w:rsidR="00C171D3" w:rsidRPr="00C171D3">
        <w:rPr>
          <w:rFonts w:asciiTheme="majorBidi" w:hAnsiTheme="majorBidi" w:cstheme="majorBidi"/>
          <w:sz w:val="24"/>
          <w:szCs w:val="24"/>
        </w:rPr>
        <w:t>spoIIE (</w:t>
      </w:r>
      <w:proofErr w:type="spellStart"/>
      <w:r w:rsidR="00C171D3" w:rsidRPr="00C171D3">
        <w:rPr>
          <w:rFonts w:asciiTheme="majorBidi" w:hAnsiTheme="majorBidi" w:cstheme="majorBidi"/>
          <w:sz w:val="24"/>
          <w:szCs w:val="24"/>
        </w:rPr>
        <w:t>erm</w:t>
      </w:r>
      <w:r w:rsidR="00C171D3" w:rsidRPr="00C171D3">
        <w:rPr>
          <w:rFonts w:asciiTheme="majorBidi" w:hAnsiTheme="majorBidi" w:cstheme="majorBidi"/>
          <w:sz w:val="24"/>
          <w:szCs w:val="24"/>
          <w:vertAlign w:val="superscript"/>
        </w:rPr>
        <w:t>S</w:t>
      </w:r>
      <w:proofErr w:type="spellEnd"/>
      <w:r w:rsidR="00C171D3" w:rsidRPr="00C171D3">
        <w:rPr>
          <w:rFonts w:asciiTheme="majorBidi" w:hAnsiTheme="majorBidi" w:cstheme="majorBidi"/>
          <w:sz w:val="24"/>
          <w:szCs w:val="24"/>
        </w:rPr>
        <w:t>)</w:t>
      </w:r>
      <w:r w:rsidR="00C171D3">
        <w:rPr>
          <w:rFonts w:asciiTheme="majorBidi" w:hAnsiTheme="majorBidi" w:cstheme="majorBidi"/>
          <w:sz w:val="24"/>
          <w:szCs w:val="24"/>
        </w:rPr>
        <w:t xml:space="preserve"> have a resistance to chloramphenicol.</w:t>
      </w:r>
    </w:p>
    <w:p w14:paraId="4DE5E16E" w14:textId="77777777" w:rsidR="000147B8" w:rsidRDefault="000147B8" w:rsidP="009153D4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8DA7BAF" w14:textId="57841101" w:rsidR="009153D4" w:rsidRDefault="00351A71" w:rsidP="009153D4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6052F">
        <w:rPr>
          <w:rFonts w:asciiTheme="majorBidi" w:hAnsiTheme="majorBidi" w:cstheme="majorBidi"/>
          <w:sz w:val="24"/>
          <w:szCs w:val="24"/>
        </w:rPr>
        <w:t xml:space="preserve">The goal of this protocol is to </w:t>
      </w:r>
      <w:r w:rsidR="00C171D3">
        <w:rPr>
          <w:rFonts w:asciiTheme="majorBidi" w:hAnsiTheme="majorBidi" w:cstheme="majorBidi"/>
          <w:sz w:val="24"/>
          <w:szCs w:val="24"/>
        </w:rPr>
        <w:t xml:space="preserve">test if the </w:t>
      </w:r>
      <w:r w:rsidR="00C171D3" w:rsidRPr="00C171D3">
        <w:rPr>
          <w:rFonts w:asciiTheme="majorBidi" w:hAnsiTheme="majorBidi" w:cstheme="majorBidi"/>
          <w:sz w:val="24"/>
          <w:szCs w:val="24"/>
        </w:rPr>
        <w:t>Δ6 (WT) and Δ6ΔspoIIE (</w:t>
      </w:r>
      <w:proofErr w:type="spellStart"/>
      <w:r w:rsidR="00C171D3" w:rsidRPr="00C171D3">
        <w:rPr>
          <w:rFonts w:asciiTheme="majorBidi" w:hAnsiTheme="majorBidi" w:cstheme="majorBidi"/>
          <w:sz w:val="24"/>
          <w:szCs w:val="24"/>
        </w:rPr>
        <w:t>ermS</w:t>
      </w:r>
      <w:proofErr w:type="spellEnd"/>
      <w:r w:rsidR="00C171D3" w:rsidRPr="00C171D3">
        <w:rPr>
          <w:rFonts w:asciiTheme="majorBidi" w:hAnsiTheme="majorBidi" w:cstheme="majorBidi"/>
          <w:sz w:val="24"/>
          <w:szCs w:val="24"/>
        </w:rPr>
        <w:t>)</w:t>
      </w:r>
      <w:r w:rsidR="00C171D3">
        <w:rPr>
          <w:rFonts w:asciiTheme="majorBidi" w:hAnsiTheme="majorBidi" w:cstheme="majorBidi"/>
          <w:sz w:val="24"/>
          <w:szCs w:val="24"/>
        </w:rPr>
        <w:t xml:space="preserve"> indeed have similar fitness. As a first test we will </w:t>
      </w:r>
      <w:r w:rsidRPr="0026052F">
        <w:rPr>
          <w:rFonts w:asciiTheme="majorBidi" w:hAnsiTheme="majorBidi" w:cstheme="majorBidi"/>
          <w:sz w:val="24"/>
          <w:szCs w:val="24"/>
        </w:rPr>
        <w:t>compare the growth curves of the</w:t>
      </w:r>
      <w:r w:rsidR="009153D4">
        <w:rPr>
          <w:rFonts w:asciiTheme="majorBidi" w:hAnsiTheme="majorBidi" w:cstheme="majorBidi"/>
          <w:sz w:val="24"/>
          <w:szCs w:val="24"/>
        </w:rPr>
        <w:t xml:space="preserve">se </w:t>
      </w:r>
      <w:r w:rsidRPr="0026052F">
        <w:rPr>
          <w:rFonts w:asciiTheme="majorBidi" w:hAnsiTheme="majorBidi" w:cstheme="majorBidi"/>
          <w:sz w:val="24"/>
          <w:szCs w:val="24"/>
        </w:rPr>
        <w:t>strains. In this run growth will be measured in both LB and DSM media. Cultures will be set in wells of 96-we</w:t>
      </w:r>
      <w:r w:rsidR="00CB4568">
        <w:rPr>
          <w:rFonts w:asciiTheme="majorBidi" w:hAnsiTheme="majorBidi" w:cstheme="majorBidi"/>
          <w:sz w:val="24"/>
          <w:szCs w:val="24"/>
        </w:rPr>
        <w:t>ll</w:t>
      </w:r>
      <w:r w:rsidRPr="0026052F">
        <w:rPr>
          <w:rFonts w:asciiTheme="majorBidi" w:hAnsiTheme="majorBidi" w:cstheme="majorBidi"/>
          <w:sz w:val="24"/>
          <w:szCs w:val="24"/>
        </w:rPr>
        <w:t xml:space="preserve"> plate for incubation and OD measurement in the Synergy plate reader.</w:t>
      </w:r>
      <w:r w:rsidR="009153D4">
        <w:rPr>
          <w:rFonts w:asciiTheme="majorBidi" w:hAnsiTheme="majorBidi" w:cstheme="majorBidi"/>
          <w:sz w:val="24"/>
          <w:szCs w:val="24"/>
        </w:rPr>
        <w:t xml:space="preserve"> </w:t>
      </w:r>
    </w:p>
    <w:p w14:paraId="7B364554" w14:textId="6C0E99E4" w:rsidR="000147B8" w:rsidRDefault="000147B8" w:rsidP="000147B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0732B77E" w14:textId="7375A16C" w:rsidR="000147B8" w:rsidRPr="000147B8" w:rsidRDefault="000147B8" w:rsidP="000147B8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147B8">
        <w:rPr>
          <w:rFonts w:asciiTheme="majorBidi" w:hAnsiTheme="majorBidi" w:cstheme="majorBidi"/>
          <w:b/>
          <w:bCs/>
          <w:sz w:val="24"/>
          <w:szCs w:val="24"/>
        </w:rPr>
        <w:t>Protocol</w:t>
      </w:r>
    </w:p>
    <w:p w14:paraId="3100C12C" w14:textId="77777777" w:rsidR="00F7440C" w:rsidRDefault="00F7440C" w:rsidP="009153D4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5EBAAA4" w14:textId="77777777" w:rsidR="00795921" w:rsidRDefault="00795921" w:rsidP="00795921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Inocula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culture preparation</w:t>
      </w:r>
    </w:p>
    <w:p w14:paraId="7CFE30B0" w14:textId="1D5190B1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Streak out colonies of the </w:t>
      </w:r>
      <w:r w:rsidR="0029647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strains on </w:t>
      </w:r>
      <w:proofErr w:type="spellStart"/>
      <w:r>
        <w:rPr>
          <w:rFonts w:asciiTheme="majorBidi" w:hAnsiTheme="majorBidi" w:cstheme="majorBidi"/>
          <w:sz w:val="24"/>
          <w:szCs w:val="24"/>
        </w:rPr>
        <w:t>LB+Cm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5µg/ml. Grow overnight at 37°C. </w:t>
      </w:r>
    </w:p>
    <w:p w14:paraId="3E9ECB58" w14:textId="5C88F787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6A37E1">
        <w:rPr>
          <w:rFonts w:asciiTheme="majorBidi" w:hAnsiTheme="majorBidi" w:cstheme="majorBidi"/>
          <w:sz w:val="24"/>
          <w:szCs w:val="24"/>
        </w:rPr>
        <w:t xml:space="preserve">Distribute 1.2 ml </w:t>
      </w:r>
      <w:proofErr w:type="spellStart"/>
      <w:r>
        <w:rPr>
          <w:rFonts w:asciiTheme="majorBidi" w:hAnsiTheme="majorBidi" w:cstheme="majorBidi"/>
          <w:sz w:val="24"/>
          <w:szCs w:val="24"/>
        </w:rPr>
        <w:t>DSM+Cm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5µg/ml</w:t>
      </w:r>
      <w:r w:rsidRPr="006A37E1">
        <w:rPr>
          <w:rFonts w:asciiTheme="majorBidi" w:hAnsiTheme="majorBidi" w:cstheme="majorBidi"/>
          <w:sz w:val="24"/>
          <w:szCs w:val="24"/>
        </w:rPr>
        <w:t xml:space="preserve"> into each of </w:t>
      </w:r>
      <w:r>
        <w:rPr>
          <w:rFonts w:asciiTheme="majorBidi" w:hAnsiTheme="majorBidi" w:cstheme="majorBidi"/>
          <w:sz w:val="24"/>
          <w:szCs w:val="24"/>
        </w:rPr>
        <w:t>14 green microtubes.</w:t>
      </w:r>
    </w:p>
    <w:p w14:paraId="074E0150" w14:textId="45FEA7DD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6A37E1">
        <w:rPr>
          <w:rFonts w:asciiTheme="majorBidi" w:hAnsiTheme="majorBidi" w:cstheme="majorBidi"/>
          <w:sz w:val="24"/>
          <w:szCs w:val="24"/>
        </w:rPr>
        <w:t xml:space="preserve">Distribute 1.2 ml </w:t>
      </w:r>
      <w:proofErr w:type="spellStart"/>
      <w:r>
        <w:rPr>
          <w:rFonts w:asciiTheme="majorBidi" w:hAnsiTheme="majorBidi" w:cstheme="majorBidi"/>
          <w:sz w:val="24"/>
          <w:szCs w:val="24"/>
        </w:rPr>
        <w:t>LB+Cm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5µg/ml</w:t>
      </w:r>
      <w:r w:rsidRPr="006A37E1">
        <w:rPr>
          <w:rFonts w:asciiTheme="majorBidi" w:hAnsiTheme="majorBidi" w:cstheme="majorBidi"/>
          <w:sz w:val="24"/>
          <w:szCs w:val="24"/>
        </w:rPr>
        <w:t xml:space="preserve"> into each of </w:t>
      </w:r>
      <w:r>
        <w:rPr>
          <w:rFonts w:asciiTheme="majorBidi" w:hAnsiTheme="majorBidi" w:cstheme="majorBidi"/>
          <w:sz w:val="24"/>
          <w:szCs w:val="24"/>
        </w:rPr>
        <w:t>14 green microtubes.</w:t>
      </w:r>
    </w:p>
    <w:p w14:paraId="6CEBCF19" w14:textId="6D5B5FE2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Pick 6 colonies of each strain and place it in a separate DSM tube. 2 tubes are left as no culture controls. (5 colonies will be used for the experiment. 6 are picked in case there are problems with any of the colonies.)</w:t>
      </w:r>
    </w:p>
    <w:p w14:paraId="2D74F402" w14:textId="77777777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Close tubes tightly and incubate overnight at 37°C without shaking.</w:t>
      </w:r>
    </w:p>
    <w:p w14:paraId="7AC1C95D" w14:textId="77777777" w:rsidR="00795921" w:rsidRDefault="00795921" w:rsidP="00795921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Inocula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culture dilutions</w:t>
      </w:r>
    </w:p>
    <w:p w14:paraId="7756F06A" w14:textId="77777777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Transfer 200µl of each tube to a well of 96-well plate</w:t>
      </w:r>
    </w:p>
    <w:p w14:paraId="5D52079F" w14:textId="77777777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OD</w:t>
      </w:r>
      <w:r w:rsidRPr="006A1FE6">
        <w:rPr>
          <w:rFonts w:asciiTheme="majorBidi" w:hAnsiTheme="majorBidi" w:cstheme="majorBidi"/>
          <w:sz w:val="24"/>
          <w:szCs w:val="24"/>
          <w:vertAlign w:val="subscript"/>
        </w:rPr>
        <w:t>600</w:t>
      </w:r>
      <w:r>
        <w:rPr>
          <w:rFonts w:asciiTheme="majorBidi" w:hAnsiTheme="majorBidi" w:cstheme="majorBidi"/>
          <w:sz w:val="24"/>
          <w:szCs w:val="24"/>
        </w:rPr>
        <w:t xml:space="preserve"> in Synergy plate reader.</w:t>
      </w:r>
    </w:p>
    <w:p w14:paraId="2EFB3501" w14:textId="54856F3C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Choose </w:t>
      </w:r>
      <w:r w:rsidR="00081B4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colonies of each strain to proceed with. Avoid outliers if possible.</w:t>
      </w:r>
    </w:p>
    <w:p w14:paraId="02D29644" w14:textId="5D14622D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6A37E1">
        <w:rPr>
          <w:rFonts w:asciiTheme="majorBidi" w:hAnsiTheme="majorBidi" w:cstheme="majorBidi"/>
          <w:sz w:val="24"/>
          <w:szCs w:val="24"/>
        </w:rPr>
        <w:t xml:space="preserve">Distribute 1 ml </w:t>
      </w:r>
      <w:proofErr w:type="spellStart"/>
      <w:r>
        <w:rPr>
          <w:rFonts w:asciiTheme="majorBidi" w:hAnsiTheme="majorBidi" w:cstheme="majorBidi"/>
          <w:sz w:val="24"/>
          <w:szCs w:val="24"/>
        </w:rPr>
        <w:t>DSM+Cm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5µg/ml</w:t>
      </w:r>
      <w:r w:rsidRPr="006A37E1">
        <w:rPr>
          <w:rFonts w:asciiTheme="majorBidi" w:hAnsiTheme="majorBidi" w:cstheme="majorBidi"/>
          <w:sz w:val="24"/>
          <w:szCs w:val="24"/>
        </w:rPr>
        <w:t xml:space="preserve"> into each of </w:t>
      </w:r>
      <w:r>
        <w:rPr>
          <w:rFonts w:asciiTheme="majorBidi" w:hAnsiTheme="majorBidi" w:cstheme="majorBidi"/>
          <w:sz w:val="24"/>
          <w:szCs w:val="24"/>
        </w:rPr>
        <w:t>11 green microtubes.</w:t>
      </w:r>
    </w:p>
    <w:p w14:paraId="63DB4F72" w14:textId="1E09276B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6A37E1">
        <w:rPr>
          <w:rFonts w:asciiTheme="majorBidi" w:hAnsiTheme="majorBidi" w:cstheme="majorBidi"/>
          <w:sz w:val="24"/>
          <w:szCs w:val="24"/>
        </w:rPr>
        <w:t xml:space="preserve">Distribute 1 ml </w:t>
      </w:r>
      <w:proofErr w:type="spellStart"/>
      <w:r>
        <w:rPr>
          <w:rFonts w:asciiTheme="majorBidi" w:hAnsiTheme="majorBidi" w:cstheme="majorBidi"/>
          <w:sz w:val="24"/>
          <w:szCs w:val="24"/>
        </w:rPr>
        <w:t>LB+Cm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5µg/ml</w:t>
      </w:r>
      <w:r w:rsidRPr="006A37E1">
        <w:rPr>
          <w:rFonts w:asciiTheme="majorBidi" w:hAnsiTheme="majorBidi" w:cstheme="majorBidi"/>
          <w:sz w:val="24"/>
          <w:szCs w:val="24"/>
        </w:rPr>
        <w:t xml:space="preserve"> into each of </w:t>
      </w:r>
      <w:r>
        <w:rPr>
          <w:rFonts w:asciiTheme="majorBidi" w:hAnsiTheme="majorBidi" w:cstheme="majorBidi"/>
          <w:sz w:val="24"/>
          <w:szCs w:val="24"/>
        </w:rPr>
        <w:t>11 green microtubes.</w:t>
      </w:r>
    </w:p>
    <w:p w14:paraId="418FD509" w14:textId="00B90301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Dilute </w:t>
      </w:r>
      <w:proofErr w:type="spellStart"/>
      <w:r>
        <w:rPr>
          <w:rFonts w:asciiTheme="majorBidi" w:hAnsiTheme="majorBidi" w:cstheme="majorBidi"/>
          <w:sz w:val="24"/>
          <w:szCs w:val="24"/>
        </w:rPr>
        <w:t>innocula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cultures to OD</w:t>
      </w:r>
      <w:r w:rsidRPr="006A1FE6">
        <w:rPr>
          <w:rFonts w:asciiTheme="majorBidi" w:hAnsiTheme="majorBidi" w:cstheme="majorBidi"/>
          <w:sz w:val="24"/>
          <w:szCs w:val="24"/>
          <w:vertAlign w:val="subscript"/>
        </w:rPr>
        <w:t>600</w:t>
      </w:r>
      <w:r>
        <w:rPr>
          <w:rFonts w:asciiTheme="majorBidi" w:hAnsiTheme="majorBidi" w:cstheme="majorBidi"/>
          <w:sz w:val="24"/>
          <w:szCs w:val="24"/>
        </w:rPr>
        <w:t>=0.05: remove (50/OD) µl from 1ml tube and replenish to 1ml by adding same volume of overnight culture.</w:t>
      </w:r>
    </w:p>
    <w:p w14:paraId="687F8FB5" w14:textId="77777777" w:rsidR="000147B8" w:rsidRDefault="000147B8" w:rsidP="000147B8">
      <w:pPr>
        <w:pStyle w:val="ListParagraph"/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45EC9CF3" w14:textId="77777777" w:rsidR="00795921" w:rsidRDefault="00795921" w:rsidP="00795921">
      <w:pPr>
        <w:pStyle w:val="ListParagraph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Plate setup</w:t>
      </w:r>
    </w:p>
    <w:p w14:paraId="404C0DA6" w14:textId="77777777" w:rsidR="00795921" w:rsidRDefault="0079592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a 96-well plate distribute 200µl/well of diluted cultures according to layout below. Each colony is distributed into 3 replicate wells: </w:t>
      </w:r>
    </w:p>
    <w:p w14:paraId="5A296CE4" w14:textId="165B1BF4" w:rsidR="00351A71" w:rsidRPr="00795921" w:rsidRDefault="00351A71" w:rsidP="00795921">
      <w:pPr>
        <w:pStyle w:val="ListParagraph"/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795921">
        <w:rPr>
          <w:rFonts w:asciiTheme="majorBidi" w:hAnsiTheme="majorBidi" w:cstheme="majorBidi"/>
          <w:sz w:val="24"/>
          <w:szCs w:val="24"/>
        </w:rPr>
        <w:t>Read OD600 in synergy 2 (37°C, 1200RPM, every 2min, 16hr)</w:t>
      </w:r>
    </w:p>
    <w:p w14:paraId="0243470A" w14:textId="77777777" w:rsidR="00351A71" w:rsidRDefault="00351A71" w:rsidP="00351A71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23FD5C95" w14:textId="6039E672" w:rsidR="00516CBF" w:rsidRDefault="00516CBF"/>
    <w:tbl>
      <w:tblPr>
        <w:tblW w:w="5000" w:type="pct"/>
        <w:tblLook w:val="04A0" w:firstRow="1" w:lastRow="0" w:firstColumn="1" w:lastColumn="0" w:noHBand="0" w:noVBand="1"/>
      </w:tblPr>
      <w:tblGrid>
        <w:gridCol w:w="714"/>
        <w:gridCol w:w="714"/>
        <w:gridCol w:w="746"/>
        <w:gridCol w:w="714"/>
        <w:gridCol w:w="714"/>
        <w:gridCol w:w="714"/>
        <w:gridCol w:w="714"/>
        <w:gridCol w:w="746"/>
        <w:gridCol w:w="714"/>
        <w:gridCol w:w="714"/>
        <w:gridCol w:w="715"/>
        <w:gridCol w:w="715"/>
        <w:gridCol w:w="706"/>
      </w:tblGrid>
      <w:tr w:rsidR="00081B45" w:rsidRPr="00081B45" w14:paraId="2AC8028B" w14:textId="77777777" w:rsidTr="00081B45">
        <w:trPr>
          <w:trHeight w:val="315"/>
        </w:trPr>
        <w:tc>
          <w:tcPr>
            <w:tcW w:w="3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B10422C" w14:textId="77777777" w:rsidR="00081B45" w:rsidRPr="00081B45" w:rsidRDefault="00081B45" w:rsidP="00081B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9C7834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1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60406D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2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387745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3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7E863E2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4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7F0C8D74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5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000000" w:fill="99CCFF"/>
            <w:vAlign w:val="center"/>
            <w:hideMark/>
          </w:tcPr>
          <w:p w14:paraId="1F9B891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6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CE5F04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7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C3F6F85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8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78A5FCBB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9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12DD93B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10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97877AB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11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7D93D10E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12</w:t>
            </w:r>
          </w:p>
        </w:tc>
      </w:tr>
      <w:tr w:rsidR="00081B45" w:rsidRPr="00081B45" w14:paraId="19176C3D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56165D1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A</w:t>
            </w:r>
          </w:p>
        </w:tc>
        <w:tc>
          <w:tcPr>
            <w:tcW w:w="38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E505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BEACC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B76DE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BE58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280A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E817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9F3F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24CD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A875B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7913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9C431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1858E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197A49A7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32A01D3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B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8E1555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D540DC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WT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60FBD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A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369B01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E54AE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F7876E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8CE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WT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8C1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A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F01E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927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73B85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B3380D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13D3CF65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03685A1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C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6118E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5A9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WT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2852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B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9BB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AC94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67A7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84F2C2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WT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1D9E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B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F1ACE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827A3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397BCFD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A1F6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0C6FE014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3FC81DC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D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B04B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613E92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WT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AA293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C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FB724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5BE53C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C7607A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C891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WT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4B4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C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AC2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000F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2422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FA52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30CC75EB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3AF40C0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E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D205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4FE5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proofErr w:type="spellStart"/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ΔspoIIE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D71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A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6569B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515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DAEE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3B8DE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proofErr w:type="spellStart"/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ΔspoIIE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C0141C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A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D068BC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4EEA15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5771625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99869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7472A69B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ED47AE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F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BFB8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6C934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proofErr w:type="spellStart"/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ΔspoIIE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5AD79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B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0DC30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FFB11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D39BF7B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C2E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proofErr w:type="spellStart"/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ΔspoIIE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8DD15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B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14D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A6E6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9236C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0A68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06323837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6D6E8AFB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G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6B6FE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71931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proofErr w:type="spellStart"/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ΔspoIIE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74B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C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A3DD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3A24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23D4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A5FAEE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proofErr w:type="spellStart"/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ΔspoIIE</w:t>
            </w:r>
            <w:proofErr w:type="spellEnd"/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98350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C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375311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7A80E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BAF1014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 </w:t>
            </w:r>
          </w:p>
        </w:tc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08AF1A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4CA64DE4" w14:textId="77777777" w:rsidTr="00081B45">
        <w:trPr>
          <w:trHeight w:val="315"/>
        </w:trPr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4FA33932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bidi="he-IL"/>
              </w:rPr>
              <w:t>H</w:t>
            </w:r>
          </w:p>
        </w:tc>
        <w:tc>
          <w:tcPr>
            <w:tcW w:w="38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61B3D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FD87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016E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ACB26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02BA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6632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LB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6BAB1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4E4E0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D57A3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8087F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AA26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B591C7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  <w:t>DSM</w:t>
            </w:r>
          </w:p>
        </w:tc>
      </w:tr>
      <w:tr w:rsidR="00081B45" w:rsidRPr="00081B45" w14:paraId="2501901C" w14:textId="77777777" w:rsidTr="00081B45">
        <w:trPr>
          <w:trHeight w:val="330"/>
        </w:trPr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7126D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bidi="he-IL"/>
              </w:rPr>
            </w:pPr>
          </w:p>
        </w:tc>
        <w:tc>
          <w:tcPr>
            <w:tcW w:w="2308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15A96F8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e-IL"/>
              </w:rPr>
              <w:t>LB</w:t>
            </w:r>
          </w:p>
        </w:tc>
        <w:tc>
          <w:tcPr>
            <w:tcW w:w="2308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5E8AD9" w14:textId="77777777" w:rsidR="00081B45" w:rsidRPr="00081B45" w:rsidRDefault="00081B45" w:rsidP="00081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e-IL"/>
              </w:rPr>
            </w:pPr>
            <w:r w:rsidRPr="00081B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he-IL"/>
              </w:rPr>
              <w:t>DSM</w:t>
            </w:r>
          </w:p>
        </w:tc>
      </w:tr>
    </w:tbl>
    <w:p w14:paraId="284A948F" w14:textId="77777777" w:rsidR="00081B45" w:rsidRDefault="00081B45"/>
    <w:sectPr w:rsidR="0008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709B0"/>
    <w:multiLevelType w:val="hybridMultilevel"/>
    <w:tmpl w:val="B830C2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36487"/>
    <w:multiLevelType w:val="hybridMultilevel"/>
    <w:tmpl w:val="AE2C79FA"/>
    <w:lvl w:ilvl="0" w:tplc="5E74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4906C0"/>
    <w:multiLevelType w:val="hybridMultilevel"/>
    <w:tmpl w:val="48F8B7AA"/>
    <w:lvl w:ilvl="0" w:tplc="ADAE8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1"/>
    <w:rsid w:val="000147B8"/>
    <w:rsid w:val="00081B45"/>
    <w:rsid w:val="00296476"/>
    <w:rsid w:val="00351A71"/>
    <w:rsid w:val="0035297D"/>
    <w:rsid w:val="00516CBF"/>
    <w:rsid w:val="00795921"/>
    <w:rsid w:val="008F2CA3"/>
    <w:rsid w:val="009153D4"/>
    <w:rsid w:val="00BD3314"/>
    <w:rsid w:val="00C171D3"/>
    <w:rsid w:val="00C654FA"/>
    <w:rsid w:val="00CA09A0"/>
    <w:rsid w:val="00CB4568"/>
    <w:rsid w:val="00D9279C"/>
    <w:rsid w:val="00F60E36"/>
    <w:rsid w:val="00F61C20"/>
    <w:rsid w:val="00F7440C"/>
    <w:rsid w:val="00F8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8861"/>
  <w15:chartTrackingRefBased/>
  <w15:docId w15:val="{037898D0-D7BA-4916-BE62-3CF58F4F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7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71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351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51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</dc:creator>
  <cp:keywords/>
  <dc:description/>
  <cp:lastModifiedBy>Schwartz, Daniel</cp:lastModifiedBy>
  <cp:revision>8</cp:revision>
  <dcterms:created xsi:type="dcterms:W3CDTF">2020-02-20T17:12:00Z</dcterms:created>
  <dcterms:modified xsi:type="dcterms:W3CDTF">2021-04-07T17:09:00Z</dcterms:modified>
</cp:coreProperties>
</file>