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0C68" w14:textId="3C4D344B" w:rsidR="000A4DBF" w:rsidRPr="00D80485" w:rsidRDefault="00F9521C" w:rsidP="009002A8">
      <w:pPr>
        <w:spacing w:after="0"/>
        <w:jc w:val="both"/>
        <w:rPr>
          <w:b/>
          <w:bCs/>
          <w:u w:val="single"/>
        </w:rPr>
      </w:pPr>
      <w:r w:rsidRPr="00D80485">
        <w:rPr>
          <w:b/>
          <w:bCs/>
          <w:u w:val="single"/>
        </w:rPr>
        <w:t xml:space="preserve">Virulence Index </w:t>
      </w:r>
      <w:r w:rsidR="00145C47" w:rsidRPr="00D80485">
        <w:rPr>
          <w:b/>
          <w:bCs/>
          <w:u w:val="single"/>
        </w:rPr>
        <w:t>A</w:t>
      </w:r>
      <w:r w:rsidR="000A4DBF" w:rsidRPr="00D80485">
        <w:rPr>
          <w:b/>
          <w:bCs/>
          <w:u w:val="single"/>
        </w:rPr>
        <w:t>ssay</w:t>
      </w:r>
      <w:r w:rsidR="00D80485" w:rsidRPr="00D80485">
        <w:rPr>
          <w:b/>
          <w:bCs/>
          <w:u w:val="single"/>
        </w:rPr>
        <w:t xml:space="preserve"> - repeat</w:t>
      </w:r>
    </w:p>
    <w:p w14:paraId="511F40B1" w14:textId="068E2F3C" w:rsidR="00834534" w:rsidRDefault="00834534" w:rsidP="00834534">
      <w:pPr>
        <w:pStyle w:val="ListParagraph"/>
        <w:numPr>
          <w:ilvl w:val="0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Inocula culture preparation</w:t>
      </w:r>
    </w:p>
    <w:p w14:paraId="3701B712" w14:textId="0DD8B66E" w:rsidR="00834534" w:rsidRDefault="0083453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Streak out colonies of the 2 strains on LB</w:t>
      </w:r>
      <w:r w:rsidR="002040F4">
        <w:rPr>
          <w:rFonts w:cstheme="majorBidi"/>
        </w:rPr>
        <w:t xml:space="preserve"> or DSM plate</w:t>
      </w:r>
      <w:r>
        <w:rPr>
          <w:rFonts w:cstheme="majorBidi"/>
        </w:rPr>
        <w:t xml:space="preserve">. Grow overnight at 37°C. </w:t>
      </w:r>
    </w:p>
    <w:p w14:paraId="57D8EF2D" w14:textId="2DB325B7" w:rsidR="00834534" w:rsidRDefault="0083453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 w:rsidRPr="006A37E1">
        <w:rPr>
          <w:rFonts w:cstheme="majorBidi"/>
        </w:rPr>
        <w:t xml:space="preserve">Distribute 1.2 ml </w:t>
      </w:r>
      <w:proofErr w:type="spellStart"/>
      <w:r>
        <w:rPr>
          <w:rFonts w:cstheme="majorBidi"/>
        </w:rPr>
        <w:t>DSM</w:t>
      </w:r>
      <w:r w:rsidR="002040F4">
        <w:rPr>
          <w:rFonts w:cstheme="majorBidi"/>
        </w:rPr>
        <w:t>+Cm</w:t>
      </w:r>
      <w:proofErr w:type="spellEnd"/>
      <w:r>
        <w:rPr>
          <w:rFonts w:cstheme="majorBidi"/>
        </w:rPr>
        <w:t xml:space="preserve"> </w:t>
      </w:r>
      <w:r w:rsidRPr="006A37E1">
        <w:rPr>
          <w:rFonts w:cstheme="majorBidi"/>
        </w:rPr>
        <w:t xml:space="preserve">into each of </w:t>
      </w:r>
      <w:r>
        <w:rPr>
          <w:rFonts w:cstheme="majorBidi"/>
        </w:rPr>
        <w:t>12 green microtubes.</w:t>
      </w:r>
    </w:p>
    <w:p w14:paraId="4D355A59" w14:textId="5A63F906" w:rsidR="00834534" w:rsidRDefault="0083453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 xml:space="preserve">Pick 5 colonies of each strain and place </w:t>
      </w:r>
      <w:r w:rsidR="002040F4">
        <w:rPr>
          <w:rFonts w:cstheme="majorBidi"/>
        </w:rPr>
        <w:t>each colony</w:t>
      </w:r>
      <w:r>
        <w:rPr>
          <w:rFonts w:cstheme="majorBidi"/>
        </w:rPr>
        <w:t xml:space="preserve"> in a separate DSM tube. 2 tubes are left as no culture controls. (4 colonies will be used for the experiment. 5 are picked in case there are problems with any of the colonies.)</w:t>
      </w:r>
    </w:p>
    <w:p w14:paraId="12D7F701" w14:textId="6E88A3DE" w:rsidR="00834534" w:rsidRDefault="0083453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Close tubes tightly and incubate overnight at 37°C without shaking.</w:t>
      </w:r>
    </w:p>
    <w:p w14:paraId="0B035FD5" w14:textId="39130144" w:rsidR="00620561" w:rsidRDefault="002040F4" w:rsidP="00834534">
      <w:pPr>
        <w:pStyle w:val="ListParagraph"/>
        <w:numPr>
          <w:ilvl w:val="1"/>
          <w:numId w:val="3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S</w:t>
      </w:r>
      <w:r w:rsidR="00620561">
        <w:rPr>
          <w:rFonts w:cstheme="majorBidi"/>
        </w:rPr>
        <w:t xml:space="preserve">et WT culture for </w:t>
      </w:r>
      <w:r w:rsidR="002524DF">
        <w:rPr>
          <w:rFonts w:cstheme="majorBidi"/>
        </w:rPr>
        <w:t xml:space="preserve">lawn in </w:t>
      </w:r>
      <w:r w:rsidR="00620561">
        <w:rPr>
          <w:rFonts w:cstheme="majorBidi"/>
        </w:rPr>
        <w:t>plaque assay.</w:t>
      </w:r>
    </w:p>
    <w:p w14:paraId="52B5E8F8" w14:textId="3EB7D82F" w:rsidR="00F751BC" w:rsidRDefault="00255C12" w:rsidP="00255C12">
      <w:pPr>
        <w:pStyle w:val="ListParagraph"/>
        <w:numPr>
          <w:ilvl w:val="0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Growth to late exponential</w:t>
      </w:r>
    </w:p>
    <w:p w14:paraId="2DED66A8" w14:textId="5287BCB5" w:rsidR="00F751BC" w:rsidRDefault="00F751BC" w:rsidP="00F751BC">
      <w:pPr>
        <w:pStyle w:val="ListParagraph"/>
        <w:spacing w:after="0" w:line="276" w:lineRule="auto"/>
        <w:rPr>
          <w:rFonts w:cstheme="majorBidi"/>
        </w:rPr>
      </w:pPr>
      <w:r>
        <w:rPr>
          <w:rFonts w:cstheme="majorBidi"/>
        </w:rPr>
        <w:t xml:space="preserve">We would like to grow the cultures to </w:t>
      </w:r>
      <w:r w:rsidRPr="00F751BC">
        <w:rPr>
          <w:rFonts w:cstheme="majorBidi"/>
        </w:rPr>
        <w:t>OD</w:t>
      </w:r>
      <w:r w:rsidRPr="00F751BC">
        <w:rPr>
          <w:rFonts w:cstheme="majorBidi"/>
          <w:vertAlign w:val="subscript"/>
        </w:rPr>
        <w:t>600</w:t>
      </w:r>
      <w:r w:rsidRPr="00F751BC">
        <w:rPr>
          <w:rFonts w:cstheme="majorBidi"/>
        </w:rPr>
        <w:t xml:space="preserve"> ~ 1</w:t>
      </w:r>
      <w:r>
        <w:rPr>
          <w:rFonts w:cstheme="majorBidi"/>
        </w:rPr>
        <w:t xml:space="preserve">. To facilitate OD </w:t>
      </w:r>
      <w:r w:rsidR="002524DF">
        <w:rPr>
          <w:rFonts w:cstheme="majorBidi"/>
        </w:rPr>
        <w:t>measurements,</w:t>
      </w:r>
      <w:r>
        <w:rPr>
          <w:rFonts w:cstheme="majorBidi"/>
        </w:rPr>
        <w:t xml:space="preserve"> we will track OD by measuring 200μl samples in the Synergy plate reader. We will aim for an OD value of 0.5 in that reader.</w:t>
      </w:r>
    </w:p>
    <w:p w14:paraId="5A81BC5E" w14:textId="77777777" w:rsidR="00F751BC" w:rsidRDefault="00F751BC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Transfer 200µl of each tube to a well of 96-well plate</w:t>
      </w:r>
    </w:p>
    <w:p w14:paraId="3E243D43" w14:textId="35495727" w:rsidR="00F751BC" w:rsidRDefault="00F751BC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Measure OD</w:t>
      </w:r>
      <w:r w:rsidRPr="006A1FE6">
        <w:rPr>
          <w:rFonts w:cstheme="majorBidi"/>
          <w:vertAlign w:val="subscript"/>
        </w:rPr>
        <w:t>600</w:t>
      </w:r>
      <w:r>
        <w:rPr>
          <w:rFonts w:cstheme="majorBidi"/>
        </w:rPr>
        <w:t xml:space="preserve"> of overnight oxygen-limited culture (200μl) in Synergy plate reader.</w:t>
      </w:r>
    </w:p>
    <w:p w14:paraId="0F4F0863" w14:textId="1C81527D" w:rsidR="00F751BC" w:rsidRDefault="00F751BC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Choose 4 colonies of each strain to proceed with. Avoid outliers if possible.</w:t>
      </w:r>
    </w:p>
    <w:p w14:paraId="2CE8F943" w14:textId="07C22C7D" w:rsidR="00A97318" w:rsidRDefault="00F751BC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Subculture:</w:t>
      </w:r>
      <w:r w:rsidR="00255C12">
        <w:rPr>
          <w:rFonts w:cstheme="majorBidi"/>
        </w:rPr>
        <w:t xml:space="preserve"> </w:t>
      </w:r>
      <w:r>
        <w:rPr>
          <w:rFonts w:cstheme="majorBidi"/>
        </w:rPr>
        <w:t>From each of the selected cultures transfer 200μl into</w:t>
      </w:r>
      <w:r w:rsidR="00A97318">
        <w:rPr>
          <w:rFonts w:cstheme="majorBidi"/>
        </w:rPr>
        <w:t xml:space="preserve"> 10 ml DSM in 50ml flask. </w:t>
      </w:r>
      <w:r w:rsidR="002524DF">
        <w:rPr>
          <w:rFonts w:cstheme="majorBidi"/>
        </w:rPr>
        <w:t>Adjust inoculation volume if there are great discrepancies in OD.</w:t>
      </w:r>
    </w:p>
    <w:p w14:paraId="0DC62BE2" w14:textId="1B864F04" w:rsidR="00834534" w:rsidRDefault="00A97318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Incubate in 37°C, 200RPM and monitor growth by plate reader.</w:t>
      </w:r>
    </w:p>
    <w:p w14:paraId="0C8C3109" w14:textId="3F31644B" w:rsidR="00A97318" w:rsidRDefault="00A97318" w:rsidP="00F751BC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>
        <w:rPr>
          <w:rFonts w:cstheme="majorBidi"/>
        </w:rPr>
        <w:t>Stop incubation at OD ~ 0.5</w:t>
      </w:r>
      <w:r w:rsidR="002524DF">
        <w:rPr>
          <w:rFonts w:cstheme="majorBidi"/>
        </w:rPr>
        <w:t>.</w:t>
      </w:r>
    </w:p>
    <w:p w14:paraId="3FB08FB3" w14:textId="7F1ADE38" w:rsidR="00255C12" w:rsidRPr="00D80485" w:rsidRDefault="00255C12" w:rsidP="00255C12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D80485">
        <w:rPr>
          <w:highlight w:val="yellow"/>
        </w:rPr>
        <w:t>Make phage dilutions (10</w:t>
      </w:r>
      <w:r w:rsidRPr="00D80485">
        <w:rPr>
          <w:highlight w:val="yellow"/>
          <w:vertAlign w:val="superscript"/>
        </w:rPr>
        <w:t>-</w:t>
      </w:r>
      <w:r w:rsidR="00D80485" w:rsidRPr="00D80485">
        <w:rPr>
          <w:highlight w:val="yellow"/>
          <w:vertAlign w:val="superscript"/>
        </w:rPr>
        <w:t>3</w:t>
      </w:r>
      <w:r w:rsidRPr="00D80485">
        <w:rPr>
          <w:highlight w:val="yellow"/>
        </w:rPr>
        <w:t xml:space="preserve"> – 10</w:t>
      </w:r>
      <w:r w:rsidRPr="00D80485">
        <w:rPr>
          <w:highlight w:val="yellow"/>
          <w:vertAlign w:val="superscript"/>
        </w:rPr>
        <w:t>-</w:t>
      </w:r>
      <w:r w:rsidR="00D80485" w:rsidRPr="00D80485">
        <w:rPr>
          <w:highlight w:val="yellow"/>
          <w:vertAlign w:val="superscript"/>
        </w:rPr>
        <w:t>10</w:t>
      </w:r>
      <w:r w:rsidRPr="00D80485">
        <w:rPr>
          <w:highlight w:val="yellow"/>
        </w:rPr>
        <w:t>)</w:t>
      </w:r>
      <w:r w:rsidR="002D38C9" w:rsidRPr="00D80485">
        <w:rPr>
          <w:highlight w:val="yellow"/>
        </w:rPr>
        <w:t xml:space="preserve"> in DSM</w:t>
      </w:r>
      <w:r w:rsidR="00A97318" w:rsidRPr="00D80485">
        <w:rPr>
          <w:highlight w:val="yellow"/>
        </w:rPr>
        <w:t xml:space="preserve"> (</w:t>
      </w:r>
      <w:r w:rsidR="00620561" w:rsidRPr="00D80485">
        <w:rPr>
          <w:highlight w:val="yellow"/>
        </w:rPr>
        <w:t>150μl</w:t>
      </w:r>
      <w:r w:rsidR="00A97318" w:rsidRPr="00D80485">
        <w:rPr>
          <w:highlight w:val="yellow"/>
        </w:rPr>
        <w:t xml:space="preserve"> =&gt; </w:t>
      </w:r>
      <w:r w:rsidR="00620561" w:rsidRPr="00D80485">
        <w:rPr>
          <w:highlight w:val="yellow"/>
        </w:rPr>
        <w:t>1350μl</w:t>
      </w:r>
      <w:r w:rsidR="00A97318" w:rsidRPr="00D80485">
        <w:rPr>
          <w:highlight w:val="yellow"/>
        </w:rPr>
        <w:t>)</w:t>
      </w:r>
    </w:p>
    <w:p w14:paraId="30816838" w14:textId="3CC22E44" w:rsidR="00A97318" w:rsidRDefault="00A97318" w:rsidP="00255C12">
      <w:pPr>
        <w:pStyle w:val="ListParagraph"/>
        <w:numPr>
          <w:ilvl w:val="0"/>
          <w:numId w:val="2"/>
        </w:numPr>
        <w:jc w:val="both"/>
      </w:pPr>
      <w:r>
        <w:t>Plate setup (see layout below)</w:t>
      </w:r>
    </w:p>
    <w:p w14:paraId="73859633" w14:textId="7AEF69D6" w:rsidR="00255C12" w:rsidRDefault="00255C12" w:rsidP="00A97318">
      <w:pPr>
        <w:pStyle w:val="ListParagraph"/>
        <w:numPr>
          <w:ilvl w:val="1"/>
          <w:numId w:val="2"/>
        </w:numPr>
        <w:jc w:val="both"/>
      </w:pPr>
      <w:r>
        <w:t>Distribute cultures into wells</w:t>
      </w:r>
      <w:r w:rsidR="00A97318">
        <w:t xml:space="preserve"> or DSM into blank wells</w:t>
      </w:r>
      <w:r>
        <w:t xml:space="preserve"> (100µl/well)</w:t>
      </w:r>
    </w:p>
    <w:p w14:paraId="66E00A00" w14:textId="4A60E96E" w:rsidR="00255C12" w:rsidRDefault="00A97318" w:rsidP="00A97318">
      <w:pPr>
        <w:pStyle w:val="ListParagraph"/>
        <w:numPr>
          <w:ilvl w:val="1"/>
          <w:numId w:val="2"/>
        </w:numPr>
        <w:jc w:val="both"/>
      </w:pPr>
      <w:r>
        <w:t>Add to wells 100µl of phage dilution or DSM into no-phage columns</w:t>
      </w:r>
      <w:r w:rsidR="002D38C9">
        <w:t>.</w:t>
      </w:r>
    </w:p>
    <w:p w14:paraId="73CBAB87" w14:textId="0D5805E7" w:rsidR="00A97318" w:rsidRPr="00795921" w:rsidRDefault="00A97318" w:rsidP="00A97318">
      <w:pPr>
        <w:pStyle w:val="ListParagraph"/>
        <w:numPr>
          <w:ilvl w:val="1"/>
          <w:numId w:val="2"/>
        </w:numPr>
        <w:spacing w:after="0" w:line="276" w:lineRule="auto"/>
        <w:rPr>
          <w:rFonts w:cstheme="majorBidi"/>
        </w:rPr>
      </w:pPr>
      <w:r w:rsidRPr="00795921">
        <w:rPr>
          <w:rFonts w:cstheme="majorBidi"/>
        </w:rPr>
        <w:t>Read OD600 in synergy 2 (37°C, 1200RPM, every 2min, 1</w:t>
      </w:r>
      <w:r w:rsidR="00620561">
        <w:rPr>
          <w:rFonts w:cstheme="majorBidi"/>
        </w:rPr>
        <w:t>0</w:t>
      </w:r>
      <w:r w:rsidRPr="00795921">
        <w:rPr>
          <w:rFonts w:cstheme="majorBidi"/>
        </w:rPr>
        <w:t>hr)</w:t>
      </w:r>
    </w:p>
    <w:p w14:paraId="05B8083C" w14:textId="64EA234B" w:rsidR="00255C12" w:rsidRDefault="00255C12" w:rsidP="00255C12">
      <w:pPr>
        <w:pStyle w:val="ListParagraph"/>
        <w:numPr>
          <w:ilvl w:val="0"/>
          <w:numId w:val="2"/>
        </w:numPr>
        <w:jc w:val="both"/>
      </w:pPr>
      <w:r>
        <w:t>Titer hosts and phages</w:t>
      </w:r>
    </w:p>
    <w:p w14:paraId="0558D069" w14:textId="647070F9" w:rsidR="00620561" w:rsidRDefault="00620561" w:rsidP="00620561">
      <w:pPr>
        <w:pStyle w:val="ListParagraph"/>
        <w:numPr>
          <w:ilvl w:val="1"/>
          <w:numId w:val="2"/>
        </w:numPr>
        <w:jc w:val="both"/>
      </w:pPr>
      <w:r>
        <w:t>Plaque assay: use leftovers from phage dilutions to do a plaque assay with WT host</w:t>
      </w:r>
      <w:r w:rsidR="002524DF">
        <w:t xml:space="preserve"> lawn</w:t>
      </w:r>
      <w:r>
        <w:t xml:space="preserve">. </w:t>
      </w:r>
      <w:r w:rsidRPr="00D80485">
        <w:rPr>
          <w:highlight w:val="yellow"/>
        </w:rPr>
        <w:t>Plate phage dilutions 10</w:t>
      </w:r>
      <w:r w:rsidRPr="00D80485">
        <w:rPr>
          <w:highlight w:val="yellow"/>
          <w:vertAlign w:val="superscript"/>
        </w:rPr>
        <w:t>-</w:t>
      </w:r>
      <w:r w:rsidR="00D80485" w:rsidRPr="00D80485">
        <w:rPr>
          <w:highlight w:val="yellow"/>
          <w:vertAlign w:val="superscript"/>
        </w:rPr>
        <w:t>7</w:t>
      </w:r>
      <w:r w:rsidRPr="00D80485">
        <w:rPr>
          <w:highlight w:val="yellow"/>
        </w:rPr>
        <w:t xml:space="preserve"> – 10</w:t>
      </w:r>
      <w:r w:rsidRPr="00D80485">
        <w:rPr>
          <w:highlight w:val="yellow"/>
          <w:vertAlign w:val="superscript"/>
        </w:rPr>
        <w:t>-</w:t>
      </w:r>
      <w:r w:rsidR="00D80485" w:rsidRPr="00D80485">
        <w:rPr>
          <w:highlight w:val="yellow"/>
          <w:vertAlign w:val="superscript"/>
        </w:rPr>
        <w:t>10</w:t>
      </w:r>
      <w:r w:rsidRPr="00D80485">
        <w:rPr>
          <w:highlight w:val="yellow"/>
        </w:rPr>
        <w:t>.</w:t>
      </w:r>
      <w:r>
        <w:t xml:space="preserve"> Make replicate</w:t>
      </w:r>
      <w:r w:rsidR="002524DF">
        <w:t>s</w:t>
      </w:r>
      <w:r>
        <w:t>.</w:t>
      </w:r>
    </w:p>
    <w:p w14:paraId="6804C51B" w14:textId="77777777" w:rsidR="00562679" w:rsidRDefault="00620561" w:rsidP="00620561">
      <w:pPr>
        <w:pStyle w:val="ListParagraph"/>
        <w:numPr>
          <w:ilvl w:val="1"/>
          <w:numId w:val="2"/>
        </w:numPr>
        <w:jc w:val="both"/>
      </w:pPr>
      <w:r>
        <w:t xml:space="preserve">Make serial dilutions of host cultures used to setup plate and </w:t>
      </w:r>
      <w:r w:rsidR="00562679">
        <w:t xml:space="preserve">spread </w:t>
      </w:r>
      <w:r>
        <w:t>plate</w:t>
      </w:r>
      <w:r w:rsidR="00562679">
        <w:t xml:space="preserve"> 100μl of 10</w:t>
      </w:r>
      <w:r w:rsidR="00562679" w:rsidRPr="00562679">
        <w:rPr>
          <w:vertAlign w:val="superscript"/>
        </w:rPr>
        <w:t>-5</w:t>
      </w:r>
      <w:r w:rsidR="00562679">
        <w:t xml:space="preserve"> and 10</w:t>
      </w:r>
      <w:r w:rsidR="00562679" w:rsidRPr="00562679">
        <w:rPr>
          <w:vertAlign w:val="superscript"/>
        </w:rPr>
        <w:t>-6</w:t>
      </w:r>
      <w:r w:rsidR="00562679">
        <w:t xml:space="preserve"> dilutions onto LB plates. </w:t>
      </w:r>
    </w:p>
    <w:p w14:paraId="6480D60B" w14:textId="4BC99E46" w:rsidR="00562679" w:rsidRDefault="00562679" w:rsidP="00EB49CF">
      <w:pPr>
        <w:jc w:val="both"/>
      </w:pPr>
      <w:r>
        <w:t>To facilitate serial dilutions of multiple cultures I make such dilutions in a 96-well plate using multi-channel pipettes:</w:t>
      </w:r>
    </w:p>
    <w:p w14:paraId="7F54ECB8" w14:textId="71D419BB" w:rsidR="00620561" w:rsidRDefault="00562679" w:rsidP="00562679">
      <w:pPr>
        <w:pStyle w:val="ListParagraph"/>
        <w:numPr>
          <w:ilvl w:val="0"/>
          <w:numId w:val="4"/>
        </w:numPr>
        <w:jc w:val="both"/>
      </w:pPr>
      <w:r>
        <w:t>Distribute 135μl PBS into well</w:t>
      </w:r>
      <w:r w:rsidR="00430B2D">
        <w:t>s</w:t>
      </w:r>
      <w:r>
        <w:t xml:space="preserve"> of plate.</w:t>
      </w:r>
    </w:p>
    <w:p w14:paraId="123AB20A" w14:textId="400F51A8" w:rsidR="00562679" w:rsidRDefault="00562679" w:rsidP="00562679">
      <w:pPr>
        <w:pStyle w:val="ListParagraph"/>
        <w:numPr>
          <w:ilvl w:val="0"/>
          <w:numId w:val="4"/>
        </w:numPr>
        <w:jc w:val="both"/>
      </w:pPr>
      <w:r>
        <w:t>Transfer 15μl into first well to make 10-1 dilution.</w:t>
      </w:r>
    </w:p>
    <w:p w14:paraId="26BC676F" w14:textId="57C82049" w:rsidR="00562679" w:rsidRDefault="00562679" w:rsidP="00562679">
      <w:pPr>
        <w:pStyle w:val="ListParagraph"/>
        <w:numPr>
          <w:ilvl w:val="0"/>
          <w:numId w:val="4"/>
        </w:numPr>
        <w:jc w:val="both"/>
      </w:pPr>
      <w:r>
        <w:t>Mix using plate mixer at 1200RPM for ~5 seconds</w:t>
      </w:r>
    </w:p>
    <w:p w14:paraId="338B8855" w14:textId="360A2B1A" w:rsidR="00562679" w:rsidRDefault="00562679" w:rsidP="00562679">
      <w:pPr>
        <w:pStyle w:val="ListParagraph"/>
        <w:numPr>
          <w:ilvl w:val="0"/>
          <w:numId w:val="4"/>
        </w:numPr>
        <w:jc w:val="both"/>
      </w:pPr>
      <w:r>
        <w:t>For each of the following dilutions use multi-channel to transfer 15μl of previous well to new wells with PBS and repeat mixing as above.</w:t>
      </w:r>
    </w:p>
    <w:p w14:paraId="0C4824F9" w14:textId="77777777" w:rsidR="009002A8" w:rsidRDefault="009002A8">
      <w:pPr>
        <w:rPr>
          <w:b/>
          <w:bCs/>
        </w:rPr>
      </w:pPr>
      <w:r>
        <w:rPr>
          <w:b/>
          <w:bCs/>
        </w:rPr>
        <w:br w:type="page"/>
      </w:r>
    </w:p>
    <w:p w14:paraId="7A08FC65" w14:textId="511ACD70" w:rsidR="00145C47" w:rsidRPr="00255C12" w:rsidRDefault="00255C12" w:rsidP="00255C12">
      <w:pPr>
        <w:spacing w:after="0"/>
        <w:jc w:val="both"/>
        <w:rPr>
          <w:b/>
          <w:bCs/>
        </w:rPr>
      </w:pPr>
      <w:r w:rsidRPr="00255C12">
        <w:rPr>
          <w:b/>
          <w:bCs/>
        </w:rPr>
        <w:lastRenderedPageBreak/>
        <w:t>Plate layout</w:t>
      </w:r>
    </w:p>
    <w:tbl>
      <w:tblPr>
        <w:tblW w:w="5000" w:type="pct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685"/>
        <w:gridCol w:w="670"/>
        <w:gridCol w:w="646"/>
        <w:gridCol w:w="645"/>
        <w:gridCol w:w="645"/>
        <w:gridCol w:w="645"/>
        <w:gridCol w:w="664"/>
        <w:gridCol w:w="671"/>
        <w:gridCol w:w="671"/>
        <w:gridCol w:w="671"/>
        <w:gridCol w:w="671"/>
        <w:gridCol w:w="671"/>
        <w:gridCol w:w="671"/>
        <w:gridCol w:w="724"/>
      </w:tblGrid>
      <w:tr w:rsidR="00EC1EA7" w:rsidRPr="00EC1EA7" w14:paraId="7F25D724" w14:textId="77777777" w:rsidTr="00D80485">
        <w:trPr>
          <w:trHeight w:val="540"/>
        </w:trPr>
        <w:tc>
          <w:tcPr>
            <w:tcW w:w="3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46605EC" w14:textId="6F95A928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sz w:val="20"/>
                <w:szCs w:val="20"/>
                <w:lang w:bidi="he-IL"/>
              </w:rPr>
            </w:pPr>
          </w:p>
        </w:tc>
        <w:tc>
          <w:tcPr>
            <w:tcW w:w="358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8FE0C79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1</w:t>
            </w:r>
          </w:p>
        </w:tc>
        <w:tc>
          <w:tcPr>
            <w:tcW w:w="345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5313A59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2</w:t>
            </w:r>
          </w:p>
        </w:tc>
        <w:tc>
          <w:tcPr>
            <w:tcW w:w="345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C98519C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3</w:t>
            </w:r>
          </w:p>
        </w:tc>
        <w:tc>
          <w:tcPr>
            <w:tcW w:w="345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A7F8903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4</w:t>
            </w:r>
          </w:p>
        </w:tc>
        <w:tc>
          <w:tcPr>
            <w:tcW w:w="345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9B832E6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5</w:t>
            </w:r>
          </w:p>
        </w:tc>
        <w:tc>
          <w:tcPr>
            <w:tcW w:w="355" w:type="pct"/>
            <w:tcBorders>
              <w:top w:val="single" w:sz="4" w:space="0" w:color="000000"/>
              <w:left w:val="nil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A85703A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6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18" w:space="0" w:color="auto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C2F56A3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7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F1B5E7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8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803DE5D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9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776552E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10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1AE6C72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11</w:t>
            </w:r>
          </w:p>
        </w:tc>
        <w:tc>
          <w:tcPr>
            <w:tcW w:w="359" w:type="pct"/>
            <w:tcBorders>
              <w:top w:val="single" w:sz="4" w:space="0" w:color="000000"/>
              <w:left w:val="nil"/>
              <w:bottom w:val="single" w:sz="1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B834E1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12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7D225" w14:textId="7C2D43F9" w:rsidR="00531EB9" w:rsidRPr="00531EB9" w:rsidRDefault="00EC1EA7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  <w:r w:rsidR="00531EB9"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 xml:space="preserve"> dilution</w:t>
            </w:r>
          </w:p>
        </w:tc>
      </w:tr>
      <w:tr w:rsidR="00D80485" w:rsidRPr="00EC1EA7" w14:paraId="090506F6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9BB6A19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A</w:t>
            </w:r>
          </w:p>
        </w:tc>
        <w:tc>
          <w:tcPr>
            <w:tcW w:w="358" w:type="pc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nil"/>
            </w:tcBorders>
            <w:shd w:val="clear" w:color="000000" w:fill="F2F2F2"/>
            <w:vAlign w:val="center"/>
            <w:hideMark/>
          </w:tcPr>
          <w:p w14:paraId="55E2422F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45" w:type="pct"/>
            <w:tcBorders>
              <w:top w:val="single" w:sz="1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411DDA3" w14:textId="2DE162C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-3</w:t>
            </w:r>
          </w:p>
        </w:tc>
        <w:tc>
          <w:tcPr>
            <w:tcW w:w="345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C70AAE1" w14:textId="40CCE476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-3</w:t>
            </w:r>
          </w:p>
        </w:tc>
        <w:tc>
          <w:tcPr>
            <w:tcW w:w="345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9584C76" w14:textId="319933C3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-3</w:t>
            </w:r>
          </w:p>
        </w:tc>
        <w:tc>
          <w:tcPr>
            <w:tcW w:w="345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B7A12B9" w14:textId="7DAC069A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-3</w:t>
            </w:r>
          </w:p>
        </w:tc>
        <w:tc>
          <w:tcPr>
            <w:tcW w:w="355" w:type="pct"/>
            <w:tcBorders>
              <w:top w:val="single" w:sz="1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552D2477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CBA3A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1E12A79" w14:textId="1864AE1B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-3</w:t>
            </w:r>
          </w:p>
        </w:tc>
        <w:tc>
          <w:tcPr>
            <w:tcW w:w="359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62730EA" w14:textId="77892238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-3</w:t>
            </w:r>
          </w:p>
        </w:tc>
        <w:tc>
          <w:tcPr>
            <w:tcW w:w="359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88C2307" w14:textId="52042A9A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-3</w:t>
            </w:r>
          </w:p>
        </w:tc>
        <w:tc>
          <w:tcPr>
            <w:tcW w:w="359" w:type="pct"/>
            <w:tcBorders>
              <w:top w:val="single" w:sz="1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32888DB" w14:textId="58553078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-3</w:t>
            </w:r>
          </w:p>
        </w:tc>
        <w:tc>
          <w:tcPr>
            <w:tcW w:w="359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000000" w:fill="F2F2F2"/>
            <w:vAlign w:val="center"/>
            <w:hideMark/>
          </w:tcPr>
          <w:p w14:paraId="6516EDB5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87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A22C7" w14:textId="386AA704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0</w:t>
            </w:r>
          </w:p>
        </w:tc>
      </w:tr>
      <w:tr w:rsidR="00D80485" w:rsidRPr="00EC1EA7" w14:paraId="38B0C874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E8B69A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B</w:t>
            </w:r>
          </w:p>
        </w:tc>
        <w:tc>
          <w:tcPr>
            <w:tcW w:w="358" w:type="pct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AB2045E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A5E5C7F" w14:textId="109DC2E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10F3F84" w14:textId="3B83416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1047A74" w14:textId="52058EA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-4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3DA8344" w14:textId="78654065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-4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0EA9A59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02F96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A9E4C83" w14:textId="3DE696B4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5E9E7D9" w14:textId="164B299C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9705AC2" w14:textId="1DC93FDF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6567FBE" w14:textId="1A63B7E4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-4</w:t>
            </w:r>
          </w:p>
        </w:tc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000000" w:fill="F2F2F2"/>
            <w:vAlign w:val="center"/>
            <w:hideMark/>
          </w:tcPr>
          <w:p w14:paraId="4F6F8FDD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87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EE416" w14:textId="0FAA99B5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-1</w:t>
            </w:r>
          </w:p>
        </w:tc>
      </w:tr>
      <w:tr w:rsidR="00D80485" w:rsidRPr="00EC1EA7" w14:paraId="47CAC097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06E746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C</w:t>
            </w:r>
          </w:p>
        </w:tc>
        <w:tc>
          <w:tcPr>
            <w:tcW w:w="358" w:type="pct"/>
            <w:tcBorders>
              <w:top w:val="single" w:sz="8" w:space="0" w:color="auto"/>
              <w:left w:val="single" w:sz="1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E3602B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DED0F4A" w14:textId="4C2C1488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A70502B" w14:textId="23E55AC5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1C043A2" w14:textId="6A886DA3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-5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7EF78AA" w14:textId="2683BBC6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8F4F14A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9946C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11FECD8" w14:textId="22DCD3C8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0CDECBD" w14:textId="6ABDF253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6FFF96F" w14:textId="4C2FFAB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-5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510EAF2" w14:textId="51981E90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-5</w:t>
            </w:r>
          </w:p>
        </w:tc>
        <w:tc>
          <w:tcPr>
            <w:tcW w:w="359" w:type="pct"/>
            <w:tcBorders>
              <w:top w:val="single" w:sz="8" w:space="0" w:color="auto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1214A9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87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F93EE" w14:textId="4892B36F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-2</w:t>
            </w:r>
          </w:p>
        </w:tc>
      </w:tr>
      <w:tr w:rsidR="00D80485" w:rsidRPr="00EC1EA7" w14:paraId="13215914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4B445D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D</w:t>
            </w:r>
          </w:p>
        </w:tc>
        <w:tc>
          <w:tcPr>
            <w:tcW w:w="358" w:type="pct"/>
            <w:tcBorders>
              <w:top w:val="nil"/>
              <w:left w:val="single" w:sz="1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8A76A9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CF6E0D2" w14:textId="0782F90A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61BD7AB" w14:textId="67410C94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52D8CDF" w14:textId="3471BFF4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-6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F820102" w14:textId="4AE6319C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-6</w:t>
            </w:r>
          </w:p>
        </w:tc>
        <w:tc>
          <w:tcPr>
            <w:tcW w:w="355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96D73D6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17E82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F5F09AF" w14:textId="23938D68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C034ADB" w14:textId="4EBD3528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55B6396" w14:textId="150B332C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E085BE4" w14:textId="5772005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-6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01BA10F9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87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9DD73" w14:textId="2B13B91B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-3</w:t>
            </w:r>
          </w:p>
        </w:tc>
      </w:tr>
      <w:tr w:rsidR="00D80485" w:rsidRPr="00EC1EA7" w14:paraId="2EF0CD9F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6305A6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E</w:t>
            </w:r>
          </w:p>
        </w:tc>
        <w:tc>
          <w:tcPr>
            <w:tcW w:w="358" w:type="pct"/>
            <w:tcBorders>
              <w:top w:val="nil"/>
              <w:left w:val="single" w:sz="18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DC5951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65B521D" w14:textId="542095D5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86A1819" w14:textId="3956DAA2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92B50C6" w14:textId="76DC3EFC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-7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DC67FAA" w14:textId="2B19385F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31C7E64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98FCF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07EA4A2" w14:textId="380930F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57EA9AE" w14:textId="4DE09E95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7402EFB" w14:textId="29C83B98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4574AEC" w14:textId="7C3D9FBB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-7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43E1FD40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87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D5EF5" w14:textId="573C134F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-4</w:t>
            </w:r>
          </w:p>
        </w:tc>
      </w:tr>
      <w:tr w:rsidR="00D80485" w:rsidRPr="00EC1EA7" w14:paraId="385CD72B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70D26D3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F</w:t>
            </w:r>
          </w:p>
        </w:tc>
        <w:tc>
          <w:tcPr>
            <w:tcW w:w="358" w:type="pct"/>
            <w:tcBorders>
              <w:top w:val="nil"/>
              <w:left w:val="single" w:sz="1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97533A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0E60CB77" w14:textId="0AA4448B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26A3D38" w14:textId="417F04E4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0BB4E88" w14:textId="35AC2C26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-8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CC0924C" w14:textId="3391647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-8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2B92DC0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CE4CF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082ACAC" w14:textId="589234DC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027034D" w14:textId="0F0A9BD8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13B65906" w14:textId="67A34182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581E98F" w14:textId="3D79804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-8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73E9FD7F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87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AED636" w14:textId="242BC6A2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-5</w:t>
            </w:r>
          </w:p>
        </w:tc>
      </w:tr>
      <w:tr w:rsidR="00D80485" w:rsidRPr="00EC1EA7" w14:paraId="7A58509F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CB768B5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G</w:t>
            </w:r>
          </w:p>
        </w:tc>
        <w:tc>
          <w:tcPr>
            <w:tcW w:w="358" w:type="pct"/>
            <w:tcBorders>
              <w:top w:val="nil"/>
              <w:left w:val="single" w:sz="18" w:space="0" w:color="auto"/>
              <w:bottom w:val="single" w:sz="4" w:space="0" w:color="000000"/>
              <w:right w:val="nil"/>
            </w:tcBorders>
            <w:shd w:val="clear" w:color="000000" w:fill="F2F2F2"/>
            <w:vAlign w:val="center"/>
            <w:hideMark/>
          </w:tcPr>
          <w:p w14:paraId="0338CAAA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4C3863E" w14:textId="4ECE0329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C01D1FD" w14:textId="24758A50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CE1C31A" w14:textId="448529C1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-9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C06C7BC" w14:textId="4E8A0C93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000000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B296AEA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50F9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0EA429E" w14:textId="122E670B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60A5913" w14:textId="71DC2C79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6081826" w14:textId="29605EC0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-9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F93595F" w14:textId="42104C6E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-9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auto"/>
            </w:tcBorders>
            <w:shd w:val="clear" w:color="000000" w:fill="F2F2F2"/>
            <w:vAlign w:val="center"/>
            <w:hideMark/>
          </w:tcPr>
          <w:p w14:paraId="32D87D1C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87" w:type="pct"/>
            <w:tcBorders>
              <w:top w:val="nil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46EB8" w14:textId="6783E0ED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-6</w:t>
            </w:r>
          </w:p>
        </w:tc>
      </w:tr>
      <w:tr w:rsidR="00D80485" w:rsidRPr="00EC1EA7" w14:paraId="54B83BC7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000000"/>
              <w:bottom w:val="doub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19E46A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H</w:t>
            </w:r>
          </w:p>
        </w:tc>
        <w:tc>
          <w:tcPr>
            <w:tcW w:w="358" w:type="pct"/>
            <w:tcBorders>
              <w:top w:val="nil"/>
              <w:left w:val="single" w:sz="18" w:space="0" w:color="auto"/>
              <w:bottom w:val="double" w:sz="18" w:space="0" w:color="auto"/>
              <w:right w:val="nil"/>
            </w:tcBorders>
            <w:shd w:val="clear" w:color="000000" w:fill="F2F2F2"/>
            <w:vAlign w:val="center"/>
            <w:hideMark/>
          </w:tcPr>
          <w:p w14:paraId="615C8BB3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45" w:type="pct"/>
            <w:tcBorders>
              <w:top w:val="nil"/>
              <w:left w:val="single" w:sz="8" w:space="0" w:color="auto"/>
              <w:bottom w:val="double" w:sz="1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36684006" w14:textId="17E74FD6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-10</w:t>
            </w:r>
          </w:p>
        </w:tc>
        <w:tc>
          <w:tcPr>
            <w:tcW w:w="345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86CF288" w14:textId="7CCBEE20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-10</w:t>
            </w:r>
          </w:p>
        </w:tc>
        <w:tc>
          <w:tcPr>
            <w:tcW w:w="345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66A128C4" w14:textId="5EC76BD0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-10</w:t>
            </w:r>
          </w:p>
        </w:tc>
        <w:tc>
          <w:tcPr>
            <w:tcW w:w="345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FA5CD7B" w14:textId="2C2553AE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-10</w:t>
            </w:r>
          </w:p>
        </w:tc>
        <w:tc>
          <w:tcPr>
            <w:tcW w:w="355" w:type="pct"/>
            <w:tcBorders>
              <w:top w:val="nil"/>
              <w:left w:val="nil"/>
              <w:bottom w:val="double" w:sz="18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26C8BF34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doub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BE75B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26C79A7A" w14:textId="76047996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-10</w:t>
            </w:r>
          </w:p>
        </w:tc>
        <w:tc>
          <w:tcPr>
            <w:tcW w:w="359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27DFD15" w14:textId="5ACBBC70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-10</w:t>
            </w:r>
          </w:p>
        </w:tc>
        <w:tc>
          <w:tcPr>
            <w:tcW w:w="359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4662E266" w14:textId="6937172F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-10</w:t>
            </w:r>
          </w:p>
        </w:tc>
        <w:tc>
          <w:tcPr>
            <w:tcW w:w="359" w:type="pct"/>
            <w:tcBorders>
              <w:top w:val="nil"/>
              <w:left w:val="nil"/>
              <w:bottom w:val="double" w:sz="1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5A943FBD" w14:textId="67FD724D" w:rsidR="00D80485" w:rsidRPr="00D80485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</w:pPr>
            <w:r w:rsidRPr="00D80485">
              <w:rPr>
                <w:rFonts w:eastAsia="Times New Roman" w:cstheme="majorBidi"/>
                <w:color w:val="000000"/>
                <w:sz w:val="28"/>
                <w:szCs w:val="28"/>
                <w:lang w:bidi="he-IL"/>
              </w:rPr>
              <w:t>10</w:t>
            </w:r>
            <w:r w:rsidRPr="00D80485">
              <w:rPr>
                <w:rFonts w:eastAsia="Times New Roman" w:cstheme="majorBidi"/>
                <w:color w:val="000000"/>
                <w:sz w:val="28"/>
                <w:szCs w:val="28"/>
                <w:vertAlign w:val="superscript"/>
                <w:lang w:bidi="he-IL"/>
              </w:rPr>
              <w:t>-10</w:t>
            </w:r>
          </w:p>
        </w:tc>
        <w:tc>
          <w:tcPr>
            <w:tcW w:w="359" w:type="pct"/>
            <w:tcBorders>
              <w:top w:val="nil"/>
              <w:left w:val="single" w:sz="4" w:space="0" w:color="000000"/>
              <w:bottom w:val="double" w:sz="18" w:space="0" w:color="auto"/>
              <w:right w:val="single" w:sz="18" w:space="0" w:color="auto"/>
            </w:tcBorders>
            <w:shd w:val="clear" w:color="000000" w:fill="F2F2F2"/>
            <w:vAlign w:val="center"/>
            <w:hideMark/>
          </w:tcPr>
          <w:p w14:paraId="045E29F4" w14:textId="77777777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Blank</w:t>
            </w:r>
          </w:p>
        </w:tc>
        <w:tc>
          <w:tcPr>
            <w:tcW w:w="387" w:type="pct"/>
            <w:tcBorders>
              <w:top w:val="nil"/>
              <w:left w:val="single" w:sz="18" w:space="0" w:color="auto"/>
              <w:bottom w:val="double" w:sz="1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C2585" w14:textId="6E475D2A" w:rsidR="00D80485" w:rsidRPr="00531EB9" w:rsidRDefault="00D80485" w:rsidP="00D80485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EC1EA7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10</w:t>
            </w:r>
            <w:r w:rsidRPr="00EC1EA7">
              <w:rPr>
                <w:rFonts w:eastAsia="Times New Roman" w:cstheme="majorBidi"/>
                <w:color w:val="000000"/>
                <w:sz w:val="20"/>
                <w:szCs w:val="20"/>
                <w:vertAlign w:val="superscript"/>
                <w:lang w:bidi="he-IL"/>
              </w:rPr>
              <w:t>-7</w:t>
            </w:r>
          </w:p>
        </w:tc>
      </w:tr>
      <w:tr w:rsidR="00EC1EA7" w:rsidRPr="00EC1EA7" w14:paraId="26EBD97E" w14:textId="77777777" w:rsidTr="00D80485">
        <w:trPr>
          <w:trHeight w:val="450"/>
        </w:trPr>
        <w:tc>
          <w:tcPr>
            <w:tcW w:w="366" w:type="pct"/>
            <w:tcBorders>
              <w:top w:val="doub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A20AD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host</w:t>
            </w:r>
          </w:p>
        </w:tc>
        <w:tc>
          <w:tcPr>
            <w:tcW w:w="358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6F74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45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4907A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45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8245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45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64C2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45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6290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55" w:type="pct"/>
            <w:tcBorders>
              <w:top w:val="doub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65D4D9FE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WT</w:t>
            </w:r>
          </w:p>
        </w:tc>
        <w:tc>
          <w:tcPr>
            <w:tcW w:w="359" w:type="pct"/>
            <w:tcBorders>
              <w:top w:val="doub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BE181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proofErr w:type="spellStart"/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  <w:proofErr w:type="spellEnd"/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6F1DA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proofErr w:type="spellStart"/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  <w:proofErr w:type="spellEnd"/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DF75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proofErr w:type="spellStart"/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  <w:proofErr w:type="spellEnd"/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16C3C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proofErr w:type="spellStart"/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  <w:proofErr w:type="spellEnd"/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226BE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proofErr w:type="spellStart"/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  <w:proofErr w:type="spellEnd"/>
          </w:p>
        </w:tc>
        <w:tc>
          <w:tcPr>
            <w:tcW w:w="359" w:type="pct"/>
            <w:tcBorders>
              <w:top w:val="doub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524E8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proofErr w:type="spellStart"/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spoIIE</w:t>
            </w:r>
            <w:proofErr w:type="spellEnd"/>
          </w:p>
        </w:tc>
        <w:tc>
          <w:tcPr>
            <w:tcW w:w="387" w:type="pct"/>
            <w:tcBorders>
              <w:top w:val="doub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C8FA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</w:p>
        </w:tc>
      </w:tr>
      <w:tr w:rsidR="00EC1EA7" w:rsidRPr="00EC1EA7" w14:paraId="14746214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72DE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colony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7C0D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All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5CA8C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8562B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8C74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405F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755244D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All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E62C1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All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7C93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AF3E9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COL2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09B0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C68D2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COL4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E2FDB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All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D02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</w:p>
        </w:tc>
      </w:tr>
      <w:tr w:rsidR="00EC1EA7" w:rsidRPr="00EC1EA7" w14:paraId="19F706CE" w14:textId="77777777" w:rsidTr="00D80485">
        <w:trPr>
          <w:trHeight w:val="450"/>
        </w:trPr>
        <w:tc>
          <w:tcPr>
            <w:tcW w:w="3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3611F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b/>
                <w:bCs/>
                <w:color w:val="000000"/>
                <w:sz w:val="20"/>
                <w:szCs w:val="20"/>
                <w:lang w:bidi="he-IL"/>
              </w:rPr>
              <w:t>phage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1C384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no phage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69651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1627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B3C2F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AAF6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  <w:hideMark/>
          </w:tcPr>
          <w:p w14:paraId="35DB4CF6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no phage</w:t>
            </w:r>
          </w:p>
        </w:tc>
        <w:tc>
          <w:tcPr>
            <w:tcW w:w="359" w:type="pct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544B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no phage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9803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E91F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99A2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9AB7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SPO1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4789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  <w:r w:rsidRPr="00531EB9"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  <w:t>no phage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F95C" w14:textId="77777777" w:rsidR="00531EB9" w:rsidRPr="00531EB9" w:rsidRDefault="00531EB9" w:rsidP="00EC1EA7">
            <w:pPr>
              <w:spacing w:after="0" w:line="240" w:lineRule="auto"/>
              <w:jc w:val="center"/>
              <w:rPr>
                <w:rFonts w:eastAsia="Times New Roman" w:cstheme="majorBidi"/>
                <w:color w:val="000000"/>
                <w:sz w:val="20"/>
                <w:szCs w:val="20"/>
                <w:lang w:bidi="he-IL"/>
              </w:rPr>
            </w:pPr>
          </w:p>
        </w:tc>
      </w:tr>
    </w:tbl>
    <w:p w14:paraId="6E87905C" w14:textId="77777777" w:rsidR="00316D01" w:rsidRPr="00FB64CC" w:rsidRDefault="00316D01" w:rsidP="00932D22">
      <w:pPr>
        <w:jc w:val="both"/>
      </w:pPr>
      <w:bookmarkStart w:id="0" w:name="_GoBack"/>
      <w:bookmarkEnd w:id="0"/>
    </w:p>
    <w:sectPr w:rsidR="00316D01" w:rsidRPr="00FB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0C6"/>
    <w:multiLevelType w:val="hybridMultilevel"/>
    <w:tmpl w:val="89C60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F4887"/>
    <w:multiLevelType w:val="hybridMultilevel"/>
    <w:tmpl w:val="3F46F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E36487"/>
    <w:multiLevelType w:val="hybridMultilevel"/>
    <w:tmpl w:val="AE2C79FA"/>
    <w:lvl w:ilvl="0" w:tplc="5E74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A57D87"/>
    <w:multiLevelType w:val="hybridMultilevel"/>
    <w:tmpl w:val="3804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CC"/>
    <w:rsid w:val="000A4DBF"/>
    <w:rsid w:val="00145C47"/>
    <w:rsid w:val="00154F53"/>
    <w:rsid w:val="002040F4"/>
    <w:rsid w:val="002524DF"/>
    <w:rsid w:val="00255C12"/>
    <w:rsid w:val="002D38C9"/>
    <w:rsid w:val="00316D01"/>
    <w:rsid w:val="00430B2D"/>
    <w:rsid w:val="00516CBF"/>
    <w:rsid w:val="00531EB9"/>
    <w:rsid w:val="00562679"/>
    <w:rsid w:val="00620561"/>
    <w:rsid w:val="006C3800"/>
    <w:rsid w:val="00770C2D"/>
    <w:rsid w:val="00834534"/>
    <w:rsid w:val="009002A8"/>
    <w:rsid w:val="00932D22"/>
    <w:rsid w:val="00A30207"/>
    <w:rsid w:val="00A52EAD"/>
    <w:rsid w:val="00A97318"/>
    <w:rsid w:val="00B2015A"/>
    <w:rsid w:val="00BD3314"/>
    <w:rsid w:val="00BF3E54"/>
    <w:rsid w:val="00C053DF"/>
    <w:rsid w:val="00C654FA"/>
    <w:rsid w:val="00D032E3"/>
    <w:rsid w:val="00D80485"/>
    <w:rsid w:val="00DA7EB7"/>
    <w:rsid w:val="00EB49CF"/>
    <w:rsid w:val="00EC1EA7"/>
    <w:rsid w:val="00F47E38"/>
    <w:rsid w:val="00F60E36"/>
    <w:rsid w:val="00F61C20"/>
    <w:rsid w:val="00F751BC"/>
    <w:rsid w:val="00F867E7"/>
    <w:rsid w:val="00F9521C"/>
    <w:rsid w:val="00F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C5C3"/>
  <w15:chartTrackingRefBased/>
  <w15:docId w15:val="{4138E360-4B3D-42D0-950D-91EAFC53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Bidi" w:eastAsiaTheme="minorHAnsi" w:hAnsiTheme="majorBidi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B64CC"/>
    <w:rPr>
      <w:i/>
      <w:iCs/>
    </w:rPr>
  </w:style>
  <w:style w:type="paragraph" w:styleId="ListParagraph">
    <w:name w:val="List Paragraph"/>
    <w:basedOn w:val="Normal"/>
    <w:uiPriority w:val="34"/>
    <w:qFormat/>
    <w:rsid w:val="00316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C51EE365F5D4B8180B2DF293DC3C3" ma:contentTypeVersion="4" ma:contentTypeDescription="Create a new document." ma:contentTypeScope="" ma:versionID="4264a9a55f7ddd9513df702faa9d43bf">
  <xsd:schema xmlns:xsd="http://www.w3.org/2001/XMLSchema" xmlns:xs="http://www.w3.org/2001/XMLSchema" xmlns:p="http://schemas.microsoft.com/office/2006/metadata/properties" xmlns:ns3="44c304e9-cfec-4a16-982c-b56fcd79a1a5" targetNamespace="http://schemas.microsoft.com/office/2006/metadata/properties" ma:root="true" ma:fieldsID="21db5e10f950a696aec9e8bd0a30c5e8" ns3:_="">
    <xsd:import namespace="44c304e9-cfec-4a16-982c-b56fcd79a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304e9-cfec-4a16-982c-b56fcd79a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30C77-0FA9-425D-A78C-879B35CB9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c304e9-cfec-4a16-982c-b56fcd79a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6BA86-A527-41CC-BFF5-B3DE0EFA7D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E004B-690D-412A-A44B-A17A42C4E3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Daniel</dc:creator>
  <cp:keywords/>
  <dc:description/>
  <cp:lastModifiedBy>danschw</cp:lastModifiedBy>
  <cp:revision>3</cp:revision>
  <dcterms:created xsi:type="dcterms:W3CDTF">2020-03-30T20:33:00Z</dcterms:created>
  <dcterms:modified xsi:type="dcterms:W3CDTF">2020-03-30T20:38:00Z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0x010100308C51EE365F5D4B8180B2DF293DC3C3</vt:lpwstr>
  </property>
</Properties>
</file>