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9646F" w14:textId="253589F1" w:rsidR="00516CBF" w:rsidRPr="00A30207" w:rsidRDefault="00FB64CC" w:rsidP="00932D22">
      <w:pPr>
        <w:jc w:val="both"/>
        <w:rPr>
          <w:b/>
          <w:bCs/>
          <w:u w:val="single"/>
        </w:rPr>
      </w:pPr>
      <w:r w:rsidRPr="00A30207">
        <w:rPr>
          <w:b/>
          <w:bCs/>
          <w:u w:val="single"/>
        </w:rPr>
        <w:t>Virulence Index Protocol</w:t>
      </w:r>
    </w:p>
    <w:p w14:paraId="6E9BE54A" w14:textId="77777777" w:rsidR="00D032E3" w:rsidRDefault="00FB64CC" w:rsidP="009002A8">
      <w:pPr>
        <w:jc w:val="both"/>
        <w:rPr>
          <w:rStyle w:val="Emphasis"/>
          <w:i w:val="0"/>
          <w:iCs w:val="0"/>
        </w:rPr>
      </w:pPr>
      <w:r>
        <w:t xml:space="preserve">Based on </w:t>
      </w:r>
      <w:r>
        <w:rPr>
          <w:rStyle w:val="Emphasis"/>
        </w:rPr>
        <w:t>Storms</w:t>
      </w:r>
      <w:r w:rsidR="000A4DBF">
        <w:rPr>
          <w:rStyle w:val="Emphasis"/>
        </w:rPr>
        <w:t xml:space="preserve">. </w:t>
      </w:r>
      <w:r>
        <w:rPr>
          <w:rStyle w:val="Emphasis"/>
        </w:rPr>
        <w:t>et al. (2019) “The Virulence Index: A Metric for Quantitative Analysis of Phage Virulence.” PHAGE 1:27-36</w:t>
      </w:r>
      <w:r w:rsidR="00145C47">
        <w:rPr>
          <w:rStyle w:val="Emphasis"/>
        </w:rPr>
        <w:t xml:space="preserve"> </w:t>
      </w:r>
      <w:r w:rsidR="00145C47" w:rsidRPr="00145C47">
        <w:rPr>
          <w:rStyle w:val="Emphasis"/>
          <w:i w:val="0"/>
          <w:iCs w:val="0"/>
        </w:rPr>
        <w:t>(</w:t>
      </w:r>
      <w:hyperlink r:id="rId8" w:history="1">
        <w:r w:rsidR="00145C47" w:rsidRPr="00145C47">
          <w:rPr>
            <w:rStyle w:val="Hyperlink"/>
          </w:rPr>
          <w:t>link</w:t>
        </w:r>
      </w:hyperlink>
      <w:r w:rsidR="00145C47" w:rsidRPr="00145C47">
        <w:rPr>
          <w:rStyle w:val="Emphasis"/>
          <w:i w:val="0"/>
          <w:iCs w:val="0"/>
        </w:rPr>
        <w:t>)</w:t>
      </w:r>
      <w:r w:rsidR="009002A8">
        <w:rPr>
          <w:rStyle w:val="Emphasis"/>
          <w:i w:val="0"/>
          <w:iCs w:val="0"/>
        </w:rPr>
        <w:t xml:space="preserve">. </w:t>
      </w:r>
    </w:p>
    <w:p w14:paraId="4751BB51" w14:textId="6A0F6479" w:rsidR="00FB64CC" w:rsidRDefault="00FB64CC" w:rsidP="009002A8">
      <w:pPr>
        <w:jc w:val="both"/>
      </w:pPr>
      <w:r>
        <w:rPr>
          <w:rStyle w:val="Emphasis"/>
          <w:i w:val="0"/>
          <w:iCs w:val="0"/>
        </w:rPr>
        <w:t xml:space="preserve">The aim of this assay is to compare the fitness of phage SPO1 on the 2 different hosts that will be used in the coevolution assay: </w:t>
      </w:r>
      <w:r w:rsidRPr="00C053DF">
        <w:rPr>
          <w:rStyle w:val="Emphasis"/>
        </w:rPr>
        <w:t>B. subtilis</w:t>
      </w:r>
      <w:r>
        <w:rPr>
          <w:rStyle w:val="Emphasis"/>
          <w:i w:val="0"/>
          <w:iCs w:val="0"/>
        </w:rPr>
        <w:t xml:space="preserve"> 168</w:t>
      </w:r>
      <w:r>
        <w:rPr>
          <w:rStyle w:val="Emphasis"/>
          <w:rFonts w:ascii="Calibri" w:hAnsi="Calibri" w:cs="Calibri"/>
          <w:i w:val="0"/>
          <w:iCs w:val="0"/>
        </w:rPr>
        <w:t>Δ</w:t>
      </w:r>
      <w:r>
        <w:rPr>
          <w:rStyle w:val="Emphasis"/>
          <w:i w:val="0"/>
          <w:iCs w:val="0"/>
        </w:rPr>
        <w:t>6-WT and 168</w:t>
      </w:r>
      <w:r>
        <w:rPr>
          <w:rStyle w:val="Emphasis"/>
          <w:rFonts w:ascii="Calibri" w:hAnsi="Calibri" w:cs="Calibri"/>
          <w:i w:val="0"/>
          <w:iCs w:val="0"/>
        </w:rPr>
        <w:t>Δ</w:t>
      </w:r>
      <w:r>
        <w:rPr>
          <w:rStyle w:val="Emphasis"/>
          <w:i w:val="0"/>
          <w:iCs w:val="0"/>
        </w:rPr>
        <w:t>6-</w:t>
      </w:r>
      <w:r>
        <w:rPr>
          <w:rStyle w:val="Emphasis"/>
          <w:rFonts w:ascii="Calibri" w:hAnsi="Calibri" w:cs="Calibri"/>
          <w:i w:val="0"/>
          <w:iCs w:val="0"/>
        </w:rPr>
        <w:t>Δ</w:t>
      </w:r>
      <w:r>
        <w:rPr>
          <w:rStyle w:val="Emphasis"/>
          <w:i w:val="0"/>
          <w:iCs w:val="0"/>
        </w:rPr>
        <w:t>spoIIE</w:t>
      </w:r>
      <w:r w:rsidR="00932D22">
        <w:rPr>
          <w:rStyle w:val="Emphasis"/>
          <w:i w:val="0"/>
          <w:iCs w:val="0"/>
        </w:rPr>
        <w:t xml:space="preserve"> (erm resistance removed)</w:t>
      </w:r>
      <w:r>
        <w:rPr>
          <w:rStyle w:val="Emphasis"/>
          <w:i w:val="0"/>
          <w:iCs w:val="0"/>
        </w:rPr>
        <w:t>.</w:t>
      </w:r>
      <w:r w:rsidR="009002A8">
        <w:rPr>
          <w:rStyle w:val="Emphasis"/>
          <w:i w:val="0"/>
          <w:iCs w:val="0"/>
        </w:rPr>
        <w:t xml:space="preserve"> </w:t>
      </w:r>
      <w:r w:rsidR="00A30207">
        <w:t>In this assay the virulence index is derived from measuring the phage-induced reduction in bacterial growth over a range of multiplicities of infection (MOI</w:t>
      </w:r>
      <w:r w:rsidR="002040F4">
        <w:t xml:space="preserve">; </w:t>
      </w:r>
      <w:r w:rsidR="00A30207">
        <w:t>ratio of phage to host</w:t>
      </w:r>
      <w:r w:rsidR="002040F4">
        <w:t>)</w:t>
      </w:r>
      <w:r w:rsidR="00A30207">
        <w:t xml:space="preserve">. This is achieved by mixing </w:t>
      </w:r>
      <w:r w:rsidR="002040F4">
        <w:t xml:space="preserve">a fixed number of </w:t>
      </w:r>
      <w:r w:rsidR="00A30207">
        <w:t xml:space="preserve">hosts with a </w:t>
      </w:r>
      <w:r w:rsidR="002040F4">
        <w:t>series of</w:t>
      </w:r>
      <w:r w:rsidR="00A30207">
        <w:t xml:space="preserve"> phage lysate</w:t>
      </w:r>
      <w:r w:rsidR="002040F4">
        <w:t xml:space="preserve"> dilutions</w:t>
      </w:r>
      <w:r w:rsidR="00A30207">
        <w:t xml:space="preserve">. </w:t>
      </w:r>
    </w:p>
    <w:p w14:paraId="093C0EA4" w14:textId="77777777" w:rsidR="00770C2D" w:rsidRPr="00770C2D" w:rsidRDefault="00770C2D" w:rsidP="009002A8">
      <w:pPr>
        <w:spacing w:after="0"/>
        <w:jc w:val="both"/>
        <w:rPr>
          <w:b/>
          <w:bCs/>
        </w:rPr>
      </w:pPr>
      <w:r w:rsidRPr="00770C2D">
        <w:rPr>
          <w:b/>
          <w:bCs/>
        </w:rPr>
        <w:t>Media</w:t>
      </w:r>
    </w:p>
    <w:p w14:paraId="6C007A4B" w14:textId="77E4DF95" w:rsidR="00F47E38" w:rsidRPr="00F47E38" w:rsidRDefault="00770C2D" w:rsidP="00F47E38">
      <w:pPr>
        <w:jc w:val="both"/>
      </w:pPr>
      <w:r>
        <w:t>The coevolution experiment will be conducted in DSM, and so this will also be the media in the experiment. However, we may want to</w:t>
      </w:r>
      <w:r w:rsidR="002040F4">
        <w:t xml:space="preserve"> laer</w:t>
      </w:r>
      <w:r>
        <w:t xml:space="preserve"> repeat the assay in LB. </w:t>
      </w:r>
      <w:r w:rsidR="00F47E38">
        <w:t xml:space="preserve">All host culturing below should be </w:t>
      </w:r>
      <w:r w:rsidR="002040F4">
        <w:t>d</w:t>
      </w:r>
      <w:r w:rsidR="00F47E38">
        <w:t>one in media with CaCl</w:t>
      </w:r>
      <w:r w:rsidR="00F47E38">
        <w:softHyphen/>
      </w:r>
      <w:r w:rsidR="00F47E38" w:rsidRPr="00F47E38">
        <w:rPr>
          <w:vertAlign w:val="subscript"/>
        </w:rPr>
        <w:t>2</w:t>
      </w:r>
      <w:r w:rsidR="00F47E38">
        <w:rPr>
          <w:vertAlign w:val="subscript"/>
        </w:rPr>
        <w:t xml:space="preserve"> </w:t>
      </w:r>
      <w:r w:rsidR="00F47E38">
        <w:t>(1mM in DSM</w:t>
      </w:r>
      <w:r w:rsidR="002040F4">
        <w:t xml:space="preserve">, </w:t>
      </w:r>
      <w:r w:rsidR="002040F4">
        <w:t>10mM in LB</w:t>
      </w:r>
      <w:r w:rsidR="00F47E38">
        <w:t>) and chloramphenicol (5μg/ml).</w:t>
      </w:r>
    </w:p>
    <w:p w14:paraId="38DD7D2E" w14:textId="711D8F2C" w:rsidR="000A4DBF" w:rsidRPr="00932D22" w:rsidRDefault="000A4DBF" w:rsidP="009002A8">
      <w:pPr>
        <w:spacing w:after="0"/>
        <w:jc w:val="both"/>
        <w:rPr>
          <w:b/>
          <w:bCs/>
        </w:rPr>
      </w:pPr>
      <w:r w:rsidRPr="00932D22">
        <w:rPr>
          <w:b/>
          <w:bCs/>
        </w:rPr>
        <w:t>Preparation of lysate</w:t>
      </w:r>
    </w:p>
    <w:p w14:paraId="0AEF7CB4" w14:textId="776CE8C9" w:rsidR="000A4DBF" w:rsidRDefault="000A4DBF" w:rsidP="002040F4">
      <w:pPr>
        <w:jc w:val="both"/>
      </w:pPr>
      <w:r>
        <w:t>For this assay a large range of MOIs is needed and therefore a high titer lysate</w:t>
      </w:r>
      <w:r w:rsidR="00B2015A">
        <w:t xml:space="preserve"> is required. This is best achieved by preparing a fresh lysate. Prepare lysate by plate flooding method from phagesdb: </w:t>
      </w:r>
    </w:p>
    <w:p w14:paraId="12B13AA5" w14:textId="490E65AD" w:rsidR="00B2015A" w:rsidRDefault="00B2015A" w:rsidP="00932D22">
      <w:pPr>
        <w:pStyle w:val="ListParagraph"/>
        <w:numPr>
          <w:ilvl w:val="0"/>
          <w:numId w:val="2"/>
        </w:numPr>
        <w:jc w:val="both"/>
      </w:pPr>
      <w:r>
        <w:t xml:space="preserve">Plaque assay </w:t>
      </w:r>
      <w:r w:rsidR="002040F4">
        <w:t>previous SPO1</w:t>
      </w:r>
      <w:r>
        <w:t xml:space="preserve"> lysate on a lawn of </w:t>
      </w:r>
      <w:r w:rsidRPr="00154F53">
        <w:rPr>
          <w:i/>
          <w:iCs/>
        </w:rPr>
        <w:t>B. subtilis</w:t>
      </w:r>
      <w:r>
        <w:t xml:space="preserve"> Δ6-ΔspoIIE</w:t>
      </w:r>
      <w:r w:rsidR="002040F4">
        <w:t>. (</w:t>
      </w:r>
      <w:r w:rsidR="002040F4">
        <w:t>10</w:t>
      </w:r>
      <w:r w:rsidR="002040F4" w:rsidRPr="00C053DF">
        <w:rPr>
          <w:vertAlign w:val="superscript"/>
        </w:rPr>
        <w:t>-</w:t>
      </w:r>
      <w:r w:rsidR="002040F4">
        <w:rPr>
          <w:vertAlign w:val="superscript"/>
        </w:rPr>
        <w:t>1</w:t>
      </w:r>
      <w:r w:rsidR="002040F4">
        <w:t xml:space="preserve"> – 10</w:t>
      </w:r>
      <w:r w:rsidR="002040F4" w:rsidRPr="00C053DF">
        <w:rPr>
          <w:vertAlign w:val="superscript"/>
        </w:rPr>
        <w:t>-</w:t>
      </w:r>
      <w:r w:rsidR="002040F4">
        <w:rPr>
          <w:vertAlign w:val="superscript"/>
        </w:rPr>
        <w:t>8</w:t>
      </w:r>
      <w:r w:rsidR="002040F4" w:rsidRPr="002040F4">
        <w:t>)</w:t>
      </w:r>
    </w:p>
    <w:p w14:paraId="17D8BC28" w14:textId="4E164F08" w:rsidR="00B2015A" w:rsidRDefault="00B2015A" w:rsidP="00932D22">
      <w:pPr>
        <w:pStyle w:val="ListParagraph"/>
        <w:numPr>
          <w:ilvl w:val="0"/>
          <w:numId w:val="2"/>
        </w:numPr>
        <w:jc w:val="both"/>
      </w:pPr>
      <w:r>
        <w:t>Identify plate on which web pattern has formed and flood it with 5</w:t>
      </w:r>
      <w:r w:rsidR="00154F53">
        <w:t>-10</w:t>
      </w:r>
      <w:r>
        <w:t>ml of phage buffer.</w:t>
      </w:r>
    </w:p>
    <w:p w14:paraId="0DD72B73" w14:textId="77777777" w:rsidR="00154F53" w:rsidRDefault="00B2015A" w:rsidP="00932D22">
      <w:pPr>
        <w:pStyle w:val="ListParagraph"/>
        <w:numPr>
          <w:ilvl w:val="0"/>
          <w:numId w:val="2"/>
        </w:numPr>
        <w:jc w:val="both"/>
      </w:pPr>
      <w:r>
        <w:t>plates stand for ~4 hours at room</w:t>
      </w:r>
      <w:r w:rsidR="00154F53">
        <w:t xml:space="preserve"> </w:t>
      </w:r>
      <w:r>
        <w:t>temperature (or overnight in the cold room). Gently swirl plates occasionally during this</w:t>
      </w:r>
      <w:r w:rsidR="00154F53">
        <w:t xml:space="preserve"> </w:t>
      </w:r>
      <w:r>
        <w:t>period.</w:t>
      </w:r>
    </w:p>
    <w:p w14:paraId="5FE8A1D5" w14:textId="77777777" w:rsidR="00154F53" w:rsidRDefault="00154F53" w:rsidP="00932D22">
      <w:pPr>
        <w:pStyle w:val="ListParagraph"/>
        <w:numPr>
          <w:ilvl w:val="0"/>
          <w:numId w:val="2"/>
        </w:numPr>
        <w:jc w:val="both"/>
      </w:pPr>
      <w:r>
        <w:t>Collect Phage Buffer</w:t>
      </w:r>
      <w:r w:rsidR="00B2015A">
        <w:t xml:space="preserve"> </w:t>
      </w:r>
      <w:r>
        <w:t>into falcon tube, centrifuge at max speed for 10 min and filter (0.2μm) into a sterilized tube (preferably glass).</w:t>
      </w:r>
    </w:p>
    <w:p w14:paraId="1A23E8E1" w14:textId="77777777" w:rsidR="00154F53" w:rsidRDefault="00154F53" w:rsidP="00932D22">
      <w:pPr>
        <w:pStyle w:val="ListParagraph"/>
        <w:numPr>
          <w:ilvl w:val="0"/>
          <w:numId w:val="2"/>
        </w:numPr>
        <w:jc w:val="both"/>
      </w:pPr>
      <w:r>
        <w:t xml:space="preserve">Store in 4°C. </w:t>
      </w:r>
    </w:p>
    <w:p w14:paraId="71B03581" w14:textId="485F83AD" w:rsidR="000A4DBF" w:rsidRDefault="00154F53" w:rsidP="00932D22">
      <w:pPr>
        <w:pStyle w:val="ListParagraph"/>
        <w:jc w:val="both"/>
      </w:pPr>
      <w:r w:rsidRPr="00154F53">
        <w:rPr>
          <w:b/>
          <w:bCs/>
        </w:rPr>
        <w:t>NOTE</w:t>
      </w:r>
      <w:r>
        <w:t>: I typically allow the lysate to sit in the fridge for a day or two before tittering it</w:t>
      </w:r>
      <w:r w:rsidR="00C053DF">
        <w:t>. This is because titers can drop significantly in the first day due to phage adsorption to the tube walls.</w:t>
      </w:r>
      <w:r w:rsidR="002040F4">
        <w:t xml:space="preserve"> </w:t>
      </w:r>
    </w:p>
    <w:p w14:paraId="3605AFD1" w14:textId="2A7DABC2" w:rsidR="00154F53" w:rsidRPr="00154F53" w:rsidRDefault="00154F53" w:rsidP="009002A8">
      <w:pPr>
        <w:spacing w:after="0"/>
        <w:jc w:val="both"/>
        <w:rPr>
          <w:b/>
          <w:bCs/>
        </w:rPr>
      </w:pPr>
      <w:r w:rsidRPr="00154F53">
        <w:rPr>
          <w:b/>
          <w:bCs/>
        </w:rPr>
        <w:t>Titer and determine efficiency of plating</w:t>
      </w:r>
      <w:r w:rsidR="00A52EAD">
        <w:rPr>
          <w:b/>
          <w:bCs/>
        </w:rPr>
        <w:t xml:space="preserve"> (EOP)</w:t>
      </w:r>
    </w:p>
    <w:p w14:paraId="7635B8E2" w14:textId="7689028C" w:rsidR="00154F53" w:rsidRDefault="00154F53" w:rsidP="00834534">
      <w:pPr>
        <w:jc w:val="both"/>
      </w:pPr>
      <w:r>
        <w:t xml:space="preserve">To determine the lysate titer a plaque assay needs to be done. This can be </w:t>
      </w:r>
      <w:r w:rsidR="002040F4">
        <w:t xml:space="preserve">also </w:t>
      </w:r>
      <w:r>
        <w:t xml:space="preserve">used to evaluate the relative plaquing efficiency of the phage on the 2 host strains. This </w:t>
      </w:r>
      <w:r w:rsidR="002040F4">
        <w:t>is</w:t>
      </w:r>
      <w:r>
        <w:t xml:space="preserve"> used as a first pass at estimating relative fitness of the phage on the hosts. </w:t>
      </w:r>
      <w:r w:rsidR="00834534">
        <w:t>Growth and plating in this part should be done using LB medi</w:t>
      </w:r>
      <w:r w:rsidR="002040F4">
        <w:t>um</w:t>
      </w:r>
      <w:r w:rsidR="00834534">
        <w:t>.</w:t>
      </w:r>
    </w:p>
    <w:p w14:paraId="492A0B50" w14:textId="2D6EEAA7" w:rsidR="00C053DF" w:rsidRDefault="00C053DF" w:rsidP="00932D22">
      <w:pPr>
        <w:pStyle w:val="ListParagraph"/>
        <w:numPr>
          <w:ilvl w:val="0"/>
          <w:numId w:val="2"/>
        </w:numPr>
        <w:jc w:val="both"/>
      </w:pPr>
      <w:r>
        <w:t xml:space="preserve">Grow an overnight culture of </w:t>
      </w:r>
      <w:r>
        <w:rPr>
          <w:rStyle w:val="Emphasis"/>
          <w:i w:val="0"/>
          <w:iCs w:val="0"/>
        </w:rPr>
        <w:t>168</w:t>
      </w:r>
      <w:r>
        <w:rPr>
          <w:rStyle w:val="Emphasis"/>
          <w:rFonts w:ascii="Calibri" w:hAnsi="Calibri" w:cs="Calibri"/>
          <w:i w:val="0"/>
          <w:iCs w:val="0"/>
        </w:rPr>
        <w:t>Δ</w:t>
      </w:r>
      <w:r>
        <w:rPr>
          <w:rStyle w:val="Emphasis"/>
          <w:i w:val="0"/>
          <w:iCs w:val="0"/>
        </w:rPr>
        <w:t>6-WT and 168</w:t>
      </w:r>
      <w:r>
        <w:rPr>
          <w:rStyle w:val="Emphasis"/>
          <w:rFonts w:ascii="Calibri" w:hAnsi="Calibri" w:cs="Calibri"/>
          <w:i w:val="0"/>
          <w:iCs w:val="0"/>
        </w:rPr>
        <w:t>Δ</w:t>
      </w:r>
      <w:r>
        <w:rPr>
          <w:rStyle w:val="Emphasis"/>
          <w:i w:val="0"/>
          <w:iCs w:val="0"/>
        </w:rPr>
        <w:t>6-</w:t>
      </w:r>
      <w:r>
        <w:rPr>
          <w:rStyle w:val="Emphasis"/>
          <w:rFonts w:ascii="Calibri" w:hAnsi="Calibri" w:cs="Calibri"/>
          <w:i w:val="0"/>
          <w:iCs w:val="0"/>
        </w:rPr>
        <w:t>Δ</w:t>
      </w:r>
      <w:r>
        <w:rPr>
          <w:rStyle w:val="Emphasis"/>
          <w:i w:val="0"/>
          <w:iCs w:val="0"/>
        </w:rPr>
        <w:t>spoIIE</w:t>
      </w:r>
      <w:r w:rsidR="00834534">
        <w:rPr>
          <w:rStyle w:val="Emphasis"/>
          <w:i w:val="0"/>
          <w:iCs w:val="0"/>
        </w:rPr>
        <w:t>.</w:t>
      </w:r>
    </w:p>
    <w:p w14:paraId="2FFF0057" w14:textId="132CD53F" w:rsidR="00C053DF" w:rsidRDefault="00154F53" w:rsidP="00932D22">
      <w:pPr>
        <w:pStyle w:val="ListParagraph"/>
        <w:numPr>
          <w:ilvl w:val="0"/>
          <w:numId w:val="2"/>
        </w:numPr>
        <w:jc w:val="both"/>
      </w:pPr>
      <w:r>
        <w:t>Prepare 3 serial dilution series (10-fold) of the SPO1 lysate</w:t>
      </w:r>
      <w:r w:rsidR="00C053DF">
        <w:t xml:space="preserve"> up to 10</w:t>
      </w:r>
      <w:r w:rsidR="00C053DF" w:rsidRPr="00C053DF">
        <w:rPr>
          <w:vertAlign w:val="superscript"/>
        </w:rPr>
        <w:t>-9</w:t>
      </w:r>
      <w:r w:rsidR="00834534">
        <w:t>.</w:t>
      </w:r>
    </w:p>
    <w:p w14:paraId="53859D1D" w14:textId="0AE79099" w:rsidR="00C053DF" w:rsidRDefault="00C053DF" w:rsidP="00932D22">
      <w:pPr>
        <w:pStyle w:val="ListParagraph"/>
        <w:numPr>
          <w:ilvl w:val="0"/>
          <w:numId w:val="2"/>
        </w:numPr>
        <w:jc w:val="both"/>
      </w:pPr>
      <w:r>
        <w:t>From each series plaque assay 10</w:t>
      </w:r>
      <w:r w:rsidRPr="00C053DF">
        <w:rPr>
          <w:vertAlign w:val="superscript"/>
        </w:rPr>
        <w:t>-5</w:t>
      </w:r>
      <w:r>
        <w:t xml:space="preserve"> – 10</w:t>
      </w:r>
      <w:r w:rsidRPr="00C053DF">
        <w:rPr>
          <w:vertAlign w:val="superscript"/>
        </w:rPr>
        <w:t>-9</w:t>
      </w:r>
      <w:r>
        <w:t xml:space="preserve"> dilutions </w:t>
      </w:r>
      <w:r w:rsidR="00A52EAD">
        <w:t>on</w:t>
      </w:r>
      <w:r>
        <w:t xml:space="preserve"> a lawn of each host.</w:t>
      </w:r>
    </w:p>
    <w:p w14:paraId="394FF610" w14:textId="77777777" w:rsidR="009002A8" w:rsidRDefault="00F9521C" w:rsidP="00110040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i w:val="0"/>
          <w:iCs w:val="0"/>
        </w:rPr>
      </w:pPr>
      <w:r>
        <w:t xml:space="preserve">EOP = titer on </w:t>
      </w:r>
      <w:r w:rsidRPr="009002A8">
        <w:rPr>
          <w:rStyle w:val="Emphasis"/>
          <w:i w:val="0"/>
          <w:iCs w:val="0"/>
        </w:rPr>
        <w:t>168</w:t>
      </w:r>
      <w:r w:rsidRPr="009002A8">
        <w:rPr>
          <w:rStyle w:val="Emphasis"/>
          <w:rFonts w:ascii="Calibri" w:hAnsi="Calibri" w:cs="Calibri"/>
          <w:i w:val="0"/>
          <w:iCs w:val="0"/>
        </w:rPr>
        <w:t>Δ</w:t>
      </w:r>
      <w:r w:rsidRPr="009002A8">
        <w:rPr>
          <w:rStyle w:val="Emphasis"/>
          <w:i w:val="0"/>
          <w:iCs w:val="0"/>
        </w:rPr>
        <w:t>6-</w:t>
      </w:r>
      <w:r w:rsidRPr="009002A8">
        <w:rPr>
          <w:rStyle w:val="Emphasis"/>
          <w:rFonts w:ascii="Calibri" w:hAnsi="Calibri" w:cs="Calibri"/>
          <w:i w:val="0"/>
          <w:iCs w:val="0"/>
        </w:rPr>
        <w:t>Δ</w:t>
      </w:r>
      <w:r w:rsidRPr="009002A8">
        <w:rPr>
          <w:rStyle w:val="Emphasis"/>
          <w:i w:val="0"/>
          <w:iCs w:val="0"/>
        </w:rPr>
        <w:t>spoIIE /168</w:t>
      </w:r>
      <w:r w:rsidRPr="009002A8">
        <w:rPr>
          <w:rStyle w:val="Emphasis"/>
          <w:rFonts w:ascii="Calibri" w:hAnsi="Calibri" w:cs="Calibri"/>
          <w:i w:val="0"/>
          <w:iCs w:val="0"/>
        </w:rPr>
        <w:t>Δ</w:t>
      </w:r>
      <w:r w:rsidRPr="009002A8">
        <w:rPr>
          <w:rStyle w:val="Emphasis"/>
          <w:i w:val="0"/>
          <w:iCs w:val="0"/>
        </w:rPr>
        <w:t>6-WT</w:t>
      </w:r>
      <w:r w:rsidR="00834534" w:rsidRPr="009002A8">
        <w:rPr>
          <w:rStyle w:val="Emphasis"/>
          <w:i w:val="0"/>
          <w:iCs w:val="0"/>
        </w:rPr>
        <w:t>.</w:t>
      </w:r>
    </w:p>
    <w:p w14:paraId="5C47F369" w14:textId="2D6C92FE" w:rsidR="00145C47" w:rsidRDefault="00145C47" w:rsidP="009002A8">
      <w:pPr>
        <w:pStyle w:val="ListParagraph"/>
        <w:spacing w:after="0"/>
        <w:jc w:val="both"/>
      </w:pPr>
      <w:r w:rsidRPr="009002A8">
        <w:rPr>
          <w:b/>
          <w:bCs/>
        </w:rPr>
        <w:t>NOTE:</w:t>
      </w:r>
      <w:r>
        <w:t xml:space="preserve"> </w:t>
      </w:r>
      <w:r w:rsidR="00834534">
        <w:t>I</w:t>
      </w:r>
      <w:r>
        <w:t>f SPO1 lysate titer is lower th</w:t>
      </w:r>
      <w:r w:rsidR="00932D22">
        <w:t>a</w:t>
      </w:r>
      <w:r>
        <w:t>n 10</w:t>
      </w:r>
      <w:r w:rsidRPr="009002A8">
        <w:rPr>
          <w:vertAlign w:val="superscript"/>
        </w:rPr>
        <w:t>8</w:t>
      </w:r>
      <w:r>
        <w:t xml:space="preserve"> PFU/ml do not continue to Virulence Index assay. Rather a new lysate should be prepared with a higher titer.</w:t>
      </w:r>
    </w:p>
    <w:p w14:paraId="429E61CD" w14:textId="77777777" w:rsidR="009002A8" w:rsidRDefault="009002A8">
      <w:pPr>
        <w:rPr>
          <w:b/>
          <w:bCs/>
        </w:rPr>
      </w:pPr>
      <w:r>
        <w:rPr>
          <w:b/>
          <w:bCs/>
        </w:rPr>
        <w:br w:type="page"/>
      </w:r>
    </w:p>
    <w:p w14:paraId="6E1A0C68" w14:textId="4B9F8AD8" w:rsidR="000A4DBF" w:rsidRDefault="00F9521C" w:rsidP="009002A8">
      <w:pPr>
        <w:spacing w:after="0"/>
        <w:jc w:val="both"/>
        <w:rPr>
          <w:b/>
          <w:bCs/>
        </w:rPr>
      </w:pPr>
      <w:r w:rsidRPr="00145C47">
        <w:rPr>
          <w:b/>
          <w:bCs/>
        </w:rPr>
        <w:lastRenderedPageBreak/>
        <w:t xml:space="preserve">Virulence Index </w:t>
      </w:r>
      <w:r w:rsidR="00145C47">
        <w:rPr>
          <w:b/>
          <w:bCs/>
        </w:rPr>
        <w:t>A</w:t>
      </w:r>
      <w:r w:rsidR="000A4DBF" w:rsidRPr="00145C47">
        <w:rPr>
          <w:b/>
          <w:bCs/>
        </w:rPr>
        <w:t>ssay</w:t>
      </w:r>
    </w:p>
    <w:p w14:paraId="511F40B1" w14:textId="068E2F3C" w:rsidR="00834534" w:rsidRDefault="00834534" w:rsidP="00834534">
      <w:pPr>
        <w:pStyle w:val="ListParagraph"/>
        <w:numPr>
          <w:ilvl w:val="0"/>
          <w:numId w:val="2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Inocula culture preparation</w:t>
      </w:r>
    </w:p>
    <w:p w14:paraId="3701B712" w14:textId="0DD8B66E" w:rsidR="00834534" w:rsidRDefault="00834534" w:rsidP="00834534">
      <w:pPr>
        <w:pStyle w:val="ListParagraph"/>
        <w:numPr>
          <w:ilvl w:val="1"/>
          <w:numId w:val="3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Streak out colonies of the 2 strains on LB</w:t>
      </w:r>
      <w:r w:rsidR="002040F4">
        <w:rPr>
          <w:rFonts w:cstheme="majorBidi"/>
        </w:rPr>
        <w:t xml:space="preserve"> or DSM plate</w:t>
      </w:r>
      <w:r>
        <w:rPr>
          <w:rFonts w:cstheme="majorBidi"/>
        </w:rPr>
        <w:t xml:space="preserve">. Grow overnight at 37°C. </w:t>
      </w:r>
    </w:p>
    <w:p w14:paraId="57D8EF2D" w14:textId="2DB325B7" w:rsidR="00834534" w:rsidRDefault="00834534" w:rsidP="00834534">
      <w:pPr>
        <w:pStyle w:val="ListParagraph"/>
        <w:numPr>
          <w:ilvl w:val="1"/>
          <w:numId w:val="3"/>
        </w:numPr>
        <w:spacing w:after="0" w:line="276" w:lineRule="auto"/>
        <w:rPr>
          <w:rFonts w:cstheme="majorBidi"/>
        </w:rPr>
      </w:pPr>
      <w:r w:rsidRPr="006A37E1">
        <w:rPr>
          <w:rFonts w:cstheme="majorBidi"/>
        </w:rPr>
        <w:t xml:space="preserve">Distribute 1.2 ml </w:t>
      </w:r>
      <w:r>
        <w:rPr>
          <w:rFonts w:cstheme="majorBidi"/>
        </w:rPr>
        <w:t>DSM</w:t>
      </w:r>
      <w:r w:rsidR="002040F4">
        <w:rPr>
          <w:rFonts w:cstheme="majorBidi"/>
        </w:rPr>
        <w:t>+Cm</w:t>
      </w:r>
      <w:r>
        <w:rPr>
          <w:rFonts w:cstheme="majorBidi"/>
        </w:rPr>
        <w:t xml:space="preserve"> </w:t>
      </w:r>
      <w:r w:rsidRPr="006A37E1">
        <w:rPr>
          <w:rFonts w:cstheme="majorBidi"/>
        </w:rPr>
        <w:t xml:space="preserve">into each of </w:t>
      </w:r>
      <w:r>
        <w:rPr>
          <w:rFonts w:cstheme="majorBidi"/>
        </w:rPr>
        <w:t>12 green microtubes.</w:t>
      </w:r>
    </w:p>
    <w:p w14:paraId="4D355A59" w14:textId="5A63F906" w:rsidR="00834534" w:rsidRDefault="00834534" w:rsidP="00834534">
      <w:pPr>
        <w:pStyle w:val="ListParagraph"/>
        <w:numPr>
          <w:ilvl w:val="1"/>
          <w:numId w:val="3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 xml:space="preserve">Pick 5 colonies of each strain and place </w:t>
      </w:r>
      <w:r w:rsidR="002040F4">
        <w:rPr>
          <w:rFonts w:cstheme="majorBidi"/>
        </w:rPr>
        <w:t>each colony</w:t>
      </w:r>
      <w:r>
        <w:rPr>
          <w:rFonts w:cstheme="majorBidi"/>
        </w:rPr>
        <w:t xml:space="preserve"> in a separate DSM tube. 2 tubes are left as no culture controls. (4 colonies will be used for the experiment. 5 are picked in case there are problems with any of the colonies.)</w:t>
      </w:r>
    </w:p>
    <w:p w14:paraId="12D7F701" w14:textId="6E88A3DE" w:rsidR="00834534" w:rsidRDefault="00834534" w:rsidP="00834534">
      <w:pPr>
        <w:pStyle w:val="ListParagraph"/>
        <w:numPr>
          <w:ilvl w:val="1"/>
          <w:numId w:val="3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Close tubes tightly and incubate overnight at 37°C without shaking.</w:t>
      </w:r>
    </w:p>
    <w:p w14:paraId="0B035FD5" w14:textId="39130144" w:rsidR="00620561" w:rsidRDefault="002040F4" w:rsidP="00834534">
      <w:pPr>
        <w:pStyle w:val="ListParagraph"/>
        <w:numPr>
          <w:ilvl w:val="1"/>
          <w:numId w:val="3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S</w:t>
      </w:r>
      <w:r w:rsidR="00620561">
        <w:rPr>
          <w:rFonts w:cstheme="majorBidi"/>
        </w:rPr>
        <w:t xml:space="preserve">et WT culture for </w:t>
      </w:r>
      <w:r w:rsidR="002524DF">
        <w:rPr>
          <w:rFonts w:cstheme="majorBidi"/>
        </w:rPr>
        <w:t xml:space="preserve">lawn in </w:t>
      </w:r>
      <w:r w:rsidR="00620561">
        <w:rPr>
          <w:rFonts w:cstheme="majorBidi"/>
        </w:rPr>
        <w:t>plaque assay.</w:t>
      </w:r>
    </w:p>
    <w:p w14:paraId="52B5E8F8" w14:textId="3EB7D82F" w:rsidR="00F751BC" w:rsidRDefault="00255C12" w:rsidP="00255C12">
      <w:pPr>
        <w:pStyle w:val="ListParagraph"/>
        <w:numPr>
          <w:ilvl w:val="0"/>
          <w:numId w:val="2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Growth to late exponential</w:t>
      </w:r>
    </w:p>
    <w:p w14:paraId="2DED66A8" w14:textId="5287BCB5" w:rsidR="00F751BC" w:rsidRDefault="00F751BC" w:rsidP="00F751BC">
      <w:pPr>
        <w:pStyle w:val="ListParagraph"/>
        <w:spacing w:after="0" w:line="276" w:lineRule="auto"/>
        <w:rPr>
          <w:rFonts w:cstheme="majorBidi"/>
        </w:rPr>
      </w:pPr>
      <w:r>
        <w:rPr>
          <w:rFonts w:cstheme="majorBidi"/>
        </w:rPr>
        <w:t xml:space="preserve">We would like to grow the cultures to </w:t>
      </w:r>
      <w:r w:rsidRPr="00F751BC">
        <w:rPr>
          <w:rFonts w:cstheme="majorBidi"/>
        </w:rPr>
        <w:t>OD</w:t>
      </w:r>
      <w:r w:rsidRPr="00F751BC">
        <w:rPr>
          <w:rFonts w:cstheme="majorBidi"/>
          <w:vertAlign w:val="subscript"/>
        </w:rPr>
        <w:t>600</w:t>
      </w:r>
      <w:r w:rsidRPr="00F751BC">
        <w:rPr>
          <w:rFonts w:cstheme="majorBidi"/>
        </w:rPr>
        <w:t xml:space="preserve"> ~ 1</w:t>
      </w:r>
      <w:r>
        <w:rPr>
          <w:rFonts w:cstheme="majorBidi"/>
        </w:rPr>
        <w:t xml:space="preserve">. To facilitate OD </w:t>
      </w:r>
      <w:r w:rsidR="002524DF">
        <w:rPr>
          <w:rFonts w:cstheme="majorBidi"/>
        </w:rPr>
        <w:t>measurements,</w:t>
      </w:r>
      <w:r>
        <w:rPr>
          <w:rFonts w:cstheme="majorBidi"/>
        </w:rPr>
        <w:t xml:space="preserve"> we will track OD by measuring 200μl samples in the Synergy plate reader. We will aim for an OD value of 0.5 in that reader.</w:t>
      </w:r>
    </w:p>
    <w:p w14:paraId="5A81BC5E" w14:textId="77777777" w:rsidR="00F751BC" w:rsidRDefault="00F751BC" w:rsidP="00F751BC">
      <w:pPr>
        <w:pStyle w:val="ListParagraph"/>
        <w:numPr>
          <w:ilvl w:val="1"/>
          <w:numId w:val="2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Transfer 200µl of each tube to a well of 96-well plate</w:t>
      </w:r>
    </w:p>
    <w:p w14:paraId="3E243D43" w14:textId="35495727" w:rsidR="00F751BC" w:rsidRDefault="00F751BC" w:rsidP="00F751BC">
      <w:pPr>
        <w:pStyle w:val="ListParagraph"/>
        <w:numPr>
          <w:ilvl w:val="1"/>
          <w:numId w:val="2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Measure OD</w:t>
      </w:r>
      <w:r w:rsidRPr="006A1FE6">
        <w:rPr>
          <w:rFonts w:cstheme="majorBidi"/>
          <w:vertAlign w:val="subscript"/>
        </w:rPr>
        <w:t>600</w:t>
      </w:r>
      <w:r>
        <w:rPr>
          <w:rFonts w:cstheme="majorBidi"/>
        </w:rPr>
        <w:t xml:space="preserve"> of overnight oxygen-limited culture (200μl) in Synergy plate reader.</w:t>
      </w:r>
    </w:p>
    <w:p w14:paraId="0F4F0863" w14:textId="1C81527D" w:rsidR="00F751BC" w:rsidRDefault="00F751BC" w:rsidP="00F751BC">
      <w:pPr>
        <w:pStyle w:val="ListParagraph"/>
        <w:numPr>
          <w:ilvl w:val="1"/>
          <w:numId w:val="2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Choose 4 colonies of each strain to proceed with. Avoid outliers if possible.</w:t>
      </w:r>
    </w:p>
    <w:p w14:paraId="2CE8F943" w14:textId="07C22C7D" w:rsidR="00A97318" w:rsidRDefault="00F751BC" w:rsidP="00F751BC">
      <w:pPr>
        <w:pStyle w:val="ListParagraph"/>
        <w:numPr>
          <w:ilvl w:val="1"/>
          <w:numId w:val="2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Subculture:</w:t>
      </w:r>
      <w:r w:rsidR="00255C12">
        <w:rPr>
          <w:rFonts w:cstheme="majorBidi"/>
        </w:rPr>
        <w:t xml:space="preserve"> </w:t>
      </w:r>
      <w:r>
        <w:rPr>
          <w:rFonts w:cstheme="majorBidi"/>
        </w:rPr>
        <w:t>From each of the selected cultures transfer 200μl into</w:t>
      </w:r>
      <w:r w:rsidR="00A97318">
        <w:rPr>
          <w:rFonts w:cstheme="majorBidi"/>
        </w:rPr>
        <w:t xml:space="preserve"> 10 ml DSM in 50ml flask. </w:t>
      </w:r>
      <w:r w:rsidR="002524DF">
        <w:rPr>
          <w:rFonts w:cstheme="majorBidi"/>
        </w:rPr>
        <w:t>Adjust inoculation volume if there are great discrepancies in OD.</w:t>
      </w:r>
    </w:p>
    <w:p w14:paraId="0DC62BE2" w14:textId="1B864F04" w:rsidR="00834534" w:rsidRDefault="00A97318" w:rsidP="00F751BC">
      <w:pPr>
        <w:pStyle w:val="ListParagraph"/>
        <w:numPr>
          <w:ilvl w:val="1"/>
          <w:numId w:val="2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Incubate in 37°C, 200RPM and monitor growth by plate reader.</w:t>
      </w:r>
    </w:p>
    <w:p w14:paraId="0C8C3109" w14:textId="3F31644B" w:rsidR="00A97318" w:rsidRDefault="00A97318" w:rsidP="00F751BC">
      <w:pPr>
        <w:pStyle w:val="ListParagraph"/>
        <w:numPr>
          <w:ilvl w:val="1"/>
          <w:numId w:val="2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Stop incubation at OD ~ 0.5</w:t>
      </w:r>
      <w:r w:rsidR="002524DF">
        <w:rPr>
          <w:rFonts w:cstheme="majorBidi"/>
        </w:rPr>
        <w:t>.</w:t>
      </w:r>
    </w:p>
    <w:p w14:paraId="3FB08FB3" w14:textId="3A52F314" w:rsidR="00255C12" w:rsidRDefault="00255C12" w:rsidP="00255C12">
      <w:pPr>
        <w:pStyle w:val="ListParagraph"/>
        <w:numPr>
          <w:ilvl w:val="0"/>
          <w:numId w:val="2"/>
        </w:numPr>
        <w:jc w:val="both"/>
      </w:pPr>
      <w:r>
        <w:t>Make phage dilutions (10</w:t>
      </w:r>
      <w:r w:rsidRPr="00316D01">
        <w:rPr>
          <w:vertAlign w:val="superscript"/>
        </w:rPr>
        <w:t>-2</w:t>
      </w:r>
      <w:r>
        <w:t xml:space="preserve"> – 10</w:t>
      </w:r>
      <w:r w:rsidRPr="00316D01">
        <w:rPr>
          <w:vertAlign w:val="superscript"/>
        </w:rPr>
        <w:t>-7</w:t>
      </w:r>
      <w:r>
        <w:t>)</w:t>
      </w:r>
      <w:r w:rsidR="002D38C9">
        <w:t xml:space="preserve"> in DSM</w:t>
      </w:r>
      <w:r w:rsidR="00A97318">
        <w:t xml:space="preserve"> (</w:t>
      </w:r>
      <w:r w:rsidR="00620561">
        <w:t>150μl</w:t>
      </w:r>
      <w:r w:rsidR="00A97318">
        <w:t xml:space="preserve"> =&gt; </w:t>
      </w:r>
      <w:r w:rsidR="00620561">
        <w:t>1350μl</w:t>
      </w:r>
      <w:r w:rsidR="00A97318">
        <w:t>)</w:t>
      </w:r>
    </w:p>
    <w:p w14:paraId="30816838" w14:textId="3CC22E44" w:rsidR="00A97318" w:rsidRDefault="00A97318" w:rsidP="00255C12">
      <w:pPr>
        <w:pStyle w:val="ListParagraph"/>
        <w:numPr>
          <w:ilvl w:val="0"/>
          <w:numId w:val="2"/>
        </w:numPr>
        <w:jc w:val="both"/>
      </w:pPr>
      <w:r>
        <w:t>Plate setup (see layout below)</w:t>
      </w:r>
    </w:p>
    <w:p w14:paraId="73859633" w14:textId="7AEF69D6" w:rsidR="00255C12" w:rsidRDefault="00255C12" w:rsidP="00A97318">
      <w:pPr>
        <w:pStyle w:val="ListParagraph"/>
        <w:numPr>
          <w:ilvl w:val="1"/>
          <w:numId w:val="2"/>
        </w:numPr>
        <w:jc w:val="both"/>
      </w:pPr>
      <w:r>
        <w:t>Distribute cultures into wells</w:t>
      </w:r>
      <w:r w:rsidR="00A97318">
        <w:t xml:space="preserve"> or DSM into blank wells</w:t>
      </w:r>
      <w:r>
        <w:t xml:space="preserve"> (100µl/well)</w:t>
      </w:r>
    </w:p>
    <w:p w14:paraId="66E00A00" w14:textId="4A60E96E" w:rsidR="00255C12" w:rsidRDefault="00A97318" w:rsidP="00A97318">
      <w:pPr>
        <w:pStyle w:val="ListParagraph"/>
        <w:numPr>
          <w:ilvl w:val="1"/>
          <w:numId w:val="2"/>
        </w:numPr>
        <w:jc w:val="both"/>
      </w:pPr>
      <w:r>
        <w:t>Add to wells 100µl of phage dilution or DSM into no-phage columns</w:t>
      </w:r>
      <w:r w:rsidR="002D38C9">
        <w:t>.</w:t>
      </w:r>
    </w:p>
    <w:p w14:paraId="73CBAB87" w14:textId="0D5805E7" w:rsidR="00A97318" w:rsidRPr="00795921" w:rsidRDefault="00A97318" w:rsidP="00A97318">
      <w:pPr>
        <w:pStyle w:val="ListParagraph"/>
        <w:numPr>
          <w:ilvl w:val="1"/>
          <w:numId w:val="2"/>
        </w:numPr>
        <w:spacing w:after="0" w:line="276" w:lineRule="auto"/>
        <w:rPr>
          <w:rFonts w:cstheme="majorBidi"/>
        </w:rPr>
      </w:pPr>
      <w:r w:rsidRPr="00795921">
        <w:rPr>
          <w:rFonts w:cstheme="majorBidi"/>
        </w:rPr>
        <w:t>Read OD600 in synergy 2 (37°C, 1200RPM, every 2min, 1</w:t>
      </w:r>
      <w:r w:rsidR="00620561">
        <w:rPr>
          <w:rFonts w:cstheme="majorBidi"/>
        </w:rPr>
        <w:t>0</w:t>
      </w:r>
      <w:r w:rsidRPr="00795921">
        <w:rPr>
          <w:rFonts w:cstheme="majorBidi"/>
        </w:rPr>
        <w:t>hr)</w:t>
      </w:r>
    </w:p>
    <w:p w14:paraId="05B8083C" w14:textId="64EA234B" w:rsidR="00255C12" w:rsidRDefault="00255C12" w:rsidP="00255C12">
      <w:pPr>
        <w:pStyle w:val="ListParagraph"/>
        <w:numPr>
          <w:ilvl w:val="0"/>
          <w:numId w:val="2"/>
        </w:numPr>
        <w:jc w:val="both"/>
      </w:pPr>
      <w:r>
        <w:t>Titer hosts and phages</w:t>
      </w:r>
    </w:p>
    <w:p w14:paraId="0558D069" w14:textId="1B4BDAD3" w:rsidR="00620561" w:rsidRDefault="00620561" w:rsidP="00620561">
      <w:pPr>
        <w:pStyle w:val="ListParagraph"/>
        <w:numPr>
          <w:ilvl w:val="1"/>
          <w:numId w:val="2"/>
        </w:numPr>
        <w:jc w:val="both"/>
      </w:pPr>
      <w:r>
        <w:t>Plaque assay: use leftovers from phage dilutions to do a plaque assay with WT host</w:t>
      </w:r>
      <w:r w:rsidR="002524DF">
        <w:t xml:space="preserve"> lawn</w:t>
      </w:r>
      <w:r>
        <w:t>. Plate phage dilutions 10</w:t>
      </w:r>
      <w:r w:rsidRPr="00620561">
        <w:rPr>
          <w:vertAlign w:val="superscript"/>
        </w:rPr>
        <w:t>-4</w:t>
      </w:r>
      <w:r>
        <w:t xml:space="preserve"> – 10</w:t>
      </w:r>
      <w:r w:rsidRPr="00620561">
        <w:rPr>
          <w:vertAlign w:val="superscript"/>
        </w:rPr>
        <w:t>-7</w:t>
      </w:r>
      <w:r>
        <w:t>. Make replicate</w:t>
      </w:r>
      <w:r w:rsidR="002524DF">
        <w:t>s</w:t>
      </w:r>
      <w:bookmarkStart w:id="0" w:name="_GoBack"/>
      <w:bookmarkEnd w:id="0"/>
      <w:r>
        <w:t>.</w:t>
      </w:r>
    </w:p>
    <w:p w14:paraId="6804C51B" w14:textId="77777777" w:rsidR="00562679" w:rsidRDefault="00620561" w:rsidP="00620561">
      <w:pPr>
        <w:pStyle w:val="ListParagraph"/>
        <w:numPr>
          <w:ilvl w:val="1"/>
          <w:numId w:val="2"/>
        </w:numPr>
        <w:jc w:val="both"/>
      </w:pPr>
      <w:r>
        <w:t xml:space="preserve">Make serial dilutions of host cultures used to setup plate and </w:t>
      </w:r>
      <w:r w:rsidR="00562679">
        <w:t xml:space="preserve">spread </w:t>
      </w:r>
      <w:r>
        <w:t>plate</w:t>
      </w:r>
      <w:r w:rsidR="00562679">
        <w:t xml:space="preserve"> 100μl of 10</w:t>
      </w:r>
      <w:r w:rsidR="00562679" w:rsidRPr="00562679">
        <w:rPr>
          <w:vertAlign w:val="superscript"/>
        </w:rPr>
        <w:t>-5</w:t>
      </w:r>
      <w:r w:rsidR="00562679">
        <w:t xml:space="preserve"> and 10</w:t>
      </w:r>
      <w:r w:rsidR="00562679" w:rsidRPr="00562679">
        <w:rPr>
          <w:vertAlign w:val="superscript"/>
        </w:rPr>
        <w:t>-6</w:t>
      </w:r>
      <w:r w:rsidR="00562679">
        <w:t xml:space="preserve"> dilutions onto LB plates. </w:t>
      </w:r>
    </w:p>
    <w:p w14:paraId="6480D60B" w14:textId="4BC99E46" w:rsidR="00562679" w:rsidRDefault="00562679" w:rsidP="00EB49CF">
      <w:pPr>
        <w:jc w:val="both"/>
      </w:pPr>
      <w:r>
        <w:t>To facilitate serial dilutions of multiple cultures I make such dilutions in a 96-well plate using multi-channel pipettes:</w:t>
      </w:r>
    </w:p>
    <w:p w14:paraId="7F54ECB8" w14:textId="71D419BB" w:rsidR="00620561" w:rsidRDefault="00562679" w:rsidP="00562679">
      <w:pPr>
        <w:pStyle w:val="ListParagraph"/>
        <w:numPr>
          <w:ilvl w:val="0"/>
          <w:numId w:val="4"/>
        </w:numPr>
        <w:jc w:val="both"/>
      </w:pPr>
      <w:r>
        <w:t>Distribute 135μl PBS into well</w:t>
      </w:r>
      <w:r w:rsidR="00430B2D">
        <w:t>s</w:t>
      </w:r>
      <w:r>
        <w:t xml:space="preserve"> of plate.</w:t>
      </w:r>
    </w:p>
    <w:p w14:paraId="123AB20A" w14:textId="400F51A8" w:rsidR="00562679" w:rsidRDefault="00562679" w:rsidP="00562679">
      <w:pPr>
        <w:pStyle w:val="ListParagraph"/>
        <w:numPr>
          <w:ilvl w:val="0"/>
          <w:numId w:val="4"/>
        </w:numPr>
        <w:jc w:val="both"/>
      </w:pPr>
      <w:r>
        <w:t>Transfer 15μl into first well to make 10-1 dilution.</w:t>
      </w:r>
    </w:p>
    <w:p w14:paraId="26BC676F" w14:textId="57C82049" w:rsidR="00562679" w:rsidRDefault="00562679" w:rsidP="00562679">
      <w:pPr>
        <w:pStyle w:val="ListParagraph"/>
        <w:numPr>
          <w:ilvl w:val="0"/>
          <w:numId w:val="4"/>
        </w:numPr>
        <w:jc w:val="both"/>
      </w:pPr>
      <w:r>
        <w:t>Mix using plate mixer at 1200RPM for ~5 seconds</w:t>
      </w:r>
    </w:p>
    <w:p w14:paraId="338B8855" w14:textId="360A2B1A" w:rsidR="00562679" w:rsidRDefault="00562679" w:rsidP="00562679">
      <w:pPr>
        <w:pStyle w:val="ListParagraph"/>
        <w:numPr>
          <w:ilvl w:val="0"/>
          <w:numId w:val="4"/>
        </w:numPr>
        <w:jc w:val="both"/>
      </w:pPr>
      <w:r>
        <w:t>For each of the following dilutions use multi-channel to transfer 15μl of previous well to new wells with PBS and repeat mixing as above.</w:t>
      </w:r>
    </w:p>
    <w:p w14:paraId="0C4824F9" w14:textId="77777777" w:rsidR="009002A8" w:rsidRDefault="009002A8">
      <w:pPr>
        <w:rPr>
          <w:b/>
          <w:bCs/>
        </w:rPr>
      </w:pPr>
      <w:r>
        <w:rPr>
          <w:b/>
          <w:bCs/>
        </w:rPr>
        <w:br w:type="page"/>
      </w:r>
    </w:p>
    <w:p w14:paraId="7A08FC65" w14:textId="511ACD70" w:rsidR="00145C47" w:rsidRPr="00255C12" w:rsidRDefault="00255C12" w:rsidP="00255C12">
      <w:pPr>
        <w:spacing w:after="0"/>
        <w:jc w:val="both"/>
        <w:rPr>
          <w:b/>
          <w:bCs/>
        </w:rPr>
      </w:pPr>
      <w:r w:rsidRPr="00255C12">
        <w:rPr>
          <w:b/>
          <w:bCs/>
        </w:rPr>
        <w:lastRenderedPageBreak/>
        <w:t>Plate layout</w:t>
      </w:r>
    </w:p>
    <w:tbl>
      <w:tblPr>
        <w:tblW w:w="5000" w:type="pct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684"/>
        <w:gridCol w:w="667"/>
        <w:gridCol w:w="645"/>
        <w:gridCol w:w="645"/>
        <w:gridCol w:w="645"/>
        <w:gridCol w:w="645"/>
        <w:gridCol w:w="664"/>
        <w:gridCol w:w="671"/>
        <w:gridCol w:w="671"/>
        <w:gridCol w:w="671"/>
        <w:gridCol w:w="671"/>
        <w:gridCol w:w="671"/>
        <w:gridCol w:w="671"/>
        <w:gridCol w:w="729"/>
      </w:tblGrid>
      <w:tr w:rsidR="00EC1EA7" w:rsidRPr="00EC1EA7" w14:paraId="7F25D724" w14:textId="77777777" w:rsidTr="002D38C9">
        <w:trPr>
          <w:trHeight w:val="540"/>
        </w:trPr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46605EC" w14:textId="6F95A928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sz w:val="20"/>
                <w:szCs w:val="20"/>
                <w:lang w:bidi="he-IL"/>
              </w:rPr>
            </w:pPr>
          </w:p>
        </w:tc>
        <w:tc>
          <w:tcPr>
            <w:tcW w:w="356" w:type="pct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8FE0C79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1</w:t>
            </w:r>
          </w:p>
        </w:tc>
        <w:tc>
          <w:tcPr>
            <w:tcW w:w="345" w:type="pct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5313A59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2</w:t>
            </w:r>
          </w:p>
        </w:tc>
        <w:tc>
          <w:tcPr>
            <w:tcW w:w="345" w:type="pct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C98519C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3</w:t>
            </w:r>
          </w:p>
        </w:tc>
        <w:tc>
          <w:tcPr>
            <w:tcW w:w="345" w:type="pct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A7F8903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4</w:t>
            </w:r>
          </w:p>
        </w:tc>
        <w:tc>
          <w:tcPr>
            <w:tcW w:w="345" w:type="pct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9B832E6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5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85703A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6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C2F56A3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7</w:t>
            </w:r>
          </w:p>
        </w:tc>
        <w:tc>
          <w:tcPr>
            <w:tcW w:w="359" w:type="pct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F1B5E77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8</w:t>
            </w:r>
          </w:p>
        </w:tc>
        <w:tc>
          <w:tcPr>
            <w:tcW w:w="359" w:type="pct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803DE5D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9</w:t>
            </w:r>
          </w:p>
        </w:tc>
        <w:tc>
          <w:tcPr>
            <w:tcW w:w="359" w:type="pct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776552E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10</w:t>
            </w:r>
          </w:p>
        </w:tc>
        <w:tc>
          <w:tcPr>
            <w:tcW w:w="359" w:type="pct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1AE6C72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11</w:t>
            </w:r>
          </w:p>
        </w:tc>
        <w:tc>
          <w:tcPr>
            <w:tcW w:w="359" w:type="pct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B834E17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12</w:t>
            </w:r>
          </w:p>
        </w:tc>
        <w:tc>
          <w:tcPr>
            <w:tcW w:w="3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7D225" w14:textId="7C2D43F9" w:rsidR="00531EB9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SPO1</w:t>
            </w:r>
            <w:r w:rsidR="00531EB9"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 xml:space="preserve"> dilution</w:t>
            </w:r>
          </w:p>
        </w:tc>
      </w:tr>
      <w:tr w:rsidR="00EC1EA7" w:rsidRPr="00EC1EA7" w14:paraId="090506F6" w14:textId="77777777" w:rsidTr="00EC1EA7">
        <w:trPr>
          <w:trHeight w:val="450"/>
        </w:trPr>
        <w:tc>
          <w:tcPr>
            <w:tcW w:w="365" w:type="pct"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9BB6A19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A</w:t>
            </w:r>
          </w:p>
        </w:tc>
        <w:tc>
          <w:tcPr>
            <w:tcW w:w="356" w:type="pct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nil"/>
            </w:tcBorders>
            <w:shd w:val="clear" w:color="000000" w:fill="F2F2F2"/>
            <w:vAlign w:val="center"/>
            <w:hideMark/>
          </w:tcPr>
          <w:p w14:paraId="55E2422F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Blank</w:t>
            </w:r>
          </w:p>
        </w:tc>
        <w:tc>
          <w:tcPr>
            <w:tcW w:w="345" w:type="pct"/>
            <w:tcBorders>
              <w:top w:val="single" w:sz="1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1DDA3" w14:textId="13BCC80C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0</w:t>
            </w:r>
          </w:p>
        </w:tc>
        <w:tc>
          <w:tcPr>
            <w:tcW w:w="345" w:type="pct"/>
            <w:tcBorders>
              <w:top w:val="single" w:sz="1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0AAE1" w14:textId="17D4F2C3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0</w:t>
            </w:r>
          </w:p>
        </w:tc>
        <w:tc>
          <w:tcPr>
            <w:tcW w:w="345" w:type="pct"/>
            <w:tcBorders>
              <w:top w:val="single" w:sz="1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84C76" w14:textId="5416537B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0</w:t>
            </w:r>
          </w:p>
        </w:tc>
        <w:tc>
          <w:tcPr>
            <w:tcW w:w="345" w:type="pct"/>
            <w:tcBorders>
              <w:top w:val="single" w:sz="1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A12B9" w14:textId="1E2A79BC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0</w:t>
            </w:r>
          </w:p>
        </w:tc>
        <w:tc>
          <w:tcPr>
            <w:tcW w:w="355" w:type="pct"/>
            <w:tcBorders>
              <w:top w:val="single" w:sz="18" w:space="0" w:color="auto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52D2477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COL1</w:t>
            </w:r>
          </w:p>
        </w:tc>
        <w:tc>
          <w:tcPr>
            <w:tcW w:w="359" w:type="pct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CBA3A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COL1</w:t>
            </w:r>
          </w:p>
        </w:tc>
        <w:tc>
          <w:tcPr>
            <w:tcW w:w="359" w:type="pct"/>
            <w:tcBorders>
              <w:top w:val="single" w:sz="1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12A79" w14:textId="205500FF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0</w:t>
            </w:r>
          </w:p>
        </w:tc>
        <w:tc>
          <w:tcPr>
            <w:tcW w:w="359" w:type="pct"/>
            <w:tcBorders>
              <w:top w:val="single" w:sz="1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730EA" w14:textId="185DC495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0</w:t>
            </w:r>
          </w:p>
        </w:tc>
        <w:tc>
          <w:tcPr>
            <w:tcW w:w="359" w:type="pct"/>
            <w:tcBorders>
              <w:top w:val="single" w:sz="1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C2307" w14:textId="0D79D7BB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0</w:t>
            </w:r>
          </w:p>
        </w:tc>
        <w:tc>
          <w:tcPr>
            <w:tcW w:w="359" w:type="pct"/>
            <w:tcBorders>
              <w:top w:val="single" w:sz="1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888DB" w14:textId="713B7510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0</w:t>
            </w:r>
          </w:p>
        </w:tc>
        <w:tc>
          <w:tcPr>
            <w:tcW w:w="359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000000" w:fill="F2F2F2"/>
            <w:vAlign w:val="center"/>
            <w:hideMark/>
          </w:tcPr>
          <w:p w14:paraId="6516EDB5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Blank</w:t>
            </w:r>
          </w:p>
        </w:tc>
        <w:tc>
          <w:tcPr>
            <w:tcW w:w="390" w:type="pct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AA22C7" w14:textId="386AA704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0</w:t>
            </w:r>
          </w:p>
        </w:tc>
      </w:tr>
      <w:tr w:rsidR="00EC1EA7" w:rsidRPr="00EC1EA7" w14:paraId="38B0C874" w14:textId="77777777" w:rsidTr="00EC1EA7">
        <w:trPr>
          <w:trHeight w:val="450"/>
        </w:trPr>
        <w:tc>
          <w:tcPr>
            <w:tcW w:w="365" w:type="pct"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0E8B69A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B</w:t>
            </w:r>
          </w:p>
        </w:tc>
        <w:tc>
          <w:tcPr>
            <w:tcW w:w="356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B2045E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Blank</w:t>
            </w:r>
          </w:p>
        </w:tc>
        <w:tc>
          <w:tcPr>
            <w:tcW w:w="345" w:type="pc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E5C7F" w14:textId="3CCAAD6C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F3F84" w14:textId="3181C1B2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47A74" w14:textId="098607A3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A8344" w14:textId="5C837953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0EA9A59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COL2</w:t>
            </w:r>
          </w:p>
        </w:tc>
        <w:tc>
          <w:tcPr>
            <w:tcW w:w="359" w:type="pct"/>
            <w:tcBorders>
              <w:top w:val="nil"/>
              <w:left w:val="single" w:sz="1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02F96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E4C83" w14:textId="317BD004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9E7D9" w14:textId="42348FBB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05AC2" w14:textId="76694A50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67FBE" w14:textId="5188AE3C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-1</w:t>
            </w:r>
          </w:p>
        </w:tc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000000" w:fill="F2F2F2"/>
            <w:vAlign w:val="center"/>
            <w:hideMark/>
          </w:tcPr>
          <w:p w14:paraId="4F6F8FDD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Blank</w:t>
            </w:r>
          </w:p>
        </w:tc>
        <w:tc>
          <w:tcPr>
            <w:tcW w:w="390" w:type="pct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EEE416" w14:textId="0FAA99B5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-1</w:t>
            </w:r>
          </w:p>
        </w:tc>
      </w:tr>
      <w:tr w:rsidR="00EC1EA7" w:rsidRPr="00EC1EA7" w14:paraId="47CAC097" w14:textId="77777777" w:rsidTr="00EC1EA7">
        <w:trPr>
          <w:trHeight w:val="450"/>
        </w:trPr>
        <w:tc>
          <w:tcPr>
            <w:tcW w:w="365" w:type="pct"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106E746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C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1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E3602B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COL1</w:t>
            </w:r>
          </w:p>
        </w:tc>
        <w:tc>
          <w:tcPr>
            <w:tcW w:w="345" w:type="pc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D0F4A" w14:textId="466BD423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0502B" w14:textId="7F7860A3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043A2" w14:textId="225CE4DF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F78AA" w14:textId="2F6E2072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-2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8F4F14A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COL3</w:t>
            </w:r>
          </w:p>
        </w:tc>
        <w:tc>
          <w:tcPr>
            <w:tcW w:w="359" w:type="pct"/>
            <w:tcBorders>
              <w:top w:val="nil"/>
              <w:left w:val="single" w:sz="1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9946C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FECD8" w14:textId="5E5AC25E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DECBD" w14:textId="01E6BF46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FF96F" w14:textId="11A1957D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0EAF2" w14:textId="7145FB0B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-2</w:t>
            </w:r>
          </w:p>
        </w:tc>
        <w:tc>
          <w:tcPr>
            <w:tcW w:w="359" w:type="pct"/>
            <w:tcBorders>
              <w:top w:val="single" w:sz="8" w:space="0" w:color="auto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51214A9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COL1</w:t>
            </w:r>
          </w:p>
        </w:tc>
        <w:tc>
          <w:tcPr>
            <w:tcW w:w="390" w:type="pct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F93EE" w14:textId="4892B36F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-2</w:t>
            </w:r>
          </w:p>
        </w:tc>
      </w:tr>
      <w:tr w:rsidR="00EC1EA7" w:rsidRPr="00EC1EA7" w14:paraId="13215914" w14:textId="77777777" w:rsidTr="00EC1EA7">
        <w:trPr>
          <w:trHeight w:val="450"/>
        </w:trPr>
        <w:tc>
          <w:tcPr>
            <w:tcW w:w="365" w:type="pct"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4B445D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D</w:t>
            </w:r>
          </w:p>
        </w:tc>
        <w:tc>
          <w:tcPr>
            <w:tcW w:w="356" w:type="pct"/>
            <w:tcBorders>
              <w:top w:val="nil"/>
              <w:left w:val="single" w:sz="1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8A76A9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COL2</w:t>
            </w:r>
          </w:p>
        </w:tc>
        <w:tc>
          <w:tcPr>
            <w:tcW w:w="345" w:type="pc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6E0D2" w14:textId="31B61CA1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-3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BD7AB" w14:textId="17C8B055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-3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D8CDF" w14:textId="7E527A2F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-3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20102" w14:textId="50231252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-3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96D73D6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COL4</w:t>
            </w:r>
          </w:p>
        </w:tc>
        <w:tc>
          <w:tcPr>
            <w:tcW w:w="35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17E82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F09AF" w14:textId="4B89B733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34ADB" w14:textId="3BE5943C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B6396" w14:textId="709E48AC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85BE4" w14:textId="7B7CB4FF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1BA10F9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COL2</w:t>
            </w:r>
          </w:p>
        </w:tc>
        <w:tc>
          <w:tcPr>
            <w:tcW w:w="390" w:type="pct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29DD73" w14:textId="2B13B91B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-3</w:t>
            </w:r>
          </w:p>
        </w:tc>
      </w:tr>
      <w:tr w:rsidR="00EC1EA7" w:rsidRPr="00EC1EA7" w14:paraId="2EF0CD9F" w14:textId="77777777" w:rsidTr="00EC1EA7">
        <w:trPr>
          <w:trHeight w:val="450"/>
        </w:trPr>
        <w:tc>
          <w:tcPr>
            <w:tcW w:w="365" w:type="pct"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6305A6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E</w:t>
            </w:r>
          </w:p>
        </w:tc>
        <w:tc>
          <w:tcPr>
            <w:tcW w:w="356" w:type="pct"/>
            <w:tcBorders>
              <w:top w:val="nil"/>
              <w:left w:val="single" w:sz="1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DC5951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COL3</w:t>
            </w:r>
          </w:p>
        </w:tc>
        <w:tc>
          <w:tcPr>
            <w:tcW w:w="345" w:type="pc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B521D" w14:textId="32752521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-4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A1819" w14:textId="60943391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-4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B50C6" w14:textId="01571B41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-4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67FAA" w14:textId="6E11F6B9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-4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31C7E64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COL1</w:t>
            </w:r>
          </w:p>
        </w:tc>
        <w:tc>
          <w:tcPr>
            <w:tcW w:w="359" w:type="pct"/>
            <w:tcBorders>
              <w:top w:val="nil"/>
              <w:left w:val="single" w:sz="1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98FCF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EA4A2" w14:textId="7E43366C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EA9AE" w14:textId="211316EC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02EFB" w14:textId="3937E5E0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74AEC" w14:textId="69879131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3E1FD40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COL3</w:t>
            </w:r>
          </w:p>
        </w:tc>
        <w:tc>
          <w:tcPr>
            <w:tcW w:w="390" w:type="pct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BD5EF5" w14:textId="573C134F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-4</w:t>
            </w:r>
          </w:p>
        </w:tc>
      </w:tr>
      <w:tr w:rsidR="00EC1EA7" w:rsidRPr="00EC1EA7" w14:paraId="385CD72B" w14:textId="77777777" w:rsidTr="00EC1EA7">
        <w:trPr>
          <w:trHeight w:val="450"/>
        </w:trPr>
        <w:tc>
          <w:tcPr>
            <w:tcW w:w="365" w:type="pct"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70D26D3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F</w:t>
            </w:r>
          </w:p>
        </w:tc>
        <w:tc>
          <w:tcPr>
            <w:tcW w:w="356" w:type="pct"/>
            <w:tcBorders>
              <w:top w:val="nil"/>
              <w:left w:val="single" w:sz="1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97533A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COL4</w:t>
            </w:r>
          </w:p>
        </w:tc>
        <w:tc>
          <w:tcPr>
            <w:tcW w:w="345" w:type="pc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0CB77" w14:textId="531E3841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A3D38" w14:textId="63CB0733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B4E88" w14:textId="486A62DD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0924C" w14:textId="3D2CE7DB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-5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2B92DC0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COL2</w:t>
            </w:r>
          </w:p>
        </w:tc>
        <w:tc>
          <w:tcPr>
            <w:tcW w:w="359" w:type="pct"/>
            <w:tcBorders>
              <w:top w:val="nil"/>
              <w:left w:val="single" w:sz="1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CE4CF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2ACAC" w14:textId="56D0825D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7034D" w14:textId="18035404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65906" w14:textId="68DC31C4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1E98F" w14:textId="13C2EE49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3E9FD7F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COL4</w:t>
            </w:r>
          </w:p>
        </w:tc>
        <w:tc>
          <w:tcPr>
            <w:tcW w:w="390" w:type="pct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AED636" w14:textId="242BC6A2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-5</w:t>
            </w:r>
          </w:p>
        </w:tc>
      </w:tr>
      <w:tr w:rsidR="00EC1EA7" w:rsidRPr="00EC1EA7" w14:paraId="7A58509F" w14:textId="77777777" w:rsidTr="00EC1EA7">
        <w:trPr>
          <w:trHeight w:val="450"/>
        </w:trPr>
        <w:tc>
          <w:tcPr>
            <w:tcW w:w="365" w:type="pct"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CB768B5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G</w:t>
            </w:r>
          </w:p>
        </w:tc>
        <w:tc>
          <w:tcPr>
            <w:tcW w:w="356" w:type="pct"/>
            <w:tcBorders>
              <w:top w:val="nil"/>
              <w:left w:val="single" w:sz="18" w:space="0" w:color="auto"/>
              <w:bottom w:val="single" w:sz="4" w:space="0" w:color="000000"/>
              <w:right w:val="nil"/>
            </w:tcBorders>
            <w:shd w:val="clear" w:color="000000" w:fill="F2F2F2"/>
            <w:vAlign w:val="center"/>
            <w:hideMark/>
          </w:tcPr>
          <w:p w14:paraId="0338CAAA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Blank</w:t>
            </w:r>
          </w:p>
        </w:tc>
        <w:tc>
          <w:tcPr>
            <w:tcW w:w="345" w:type="pc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3863E" w14:textId="49610A93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1D1FD" w14:textId="78775768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1C31A" w14:textId="534E540E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6C7BC" w14:textId="4BAAA42A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-6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B296AEA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COL3</w:t>
            </w:r>
          </w:p>
        </w:tc>
        <w:tc>
          <w:tcPr>
            <w:tcW w:w="359" w:type="pct"/>
            <w:tcBorders>
              <w:top w:val="nil"/>
              <w:left w:val="single" w:sz="1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750F9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A429E" w14:textId="055A6351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A5913" w14:textId="649A845F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81826" w14:textId="33F8AE01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3595F" w14:textId="7450E238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-6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000000" w:fill="F2F2F2"/>
            <w:vAlign w:val="center"/>
            <w:hideMark/>
          </w:tcPr>
          <w:p w14:paraId="32D87D1C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Blank</w:t>
            </w:r>
          </w:p>
        </w:tc>
        <w:tc>
          <w:tcPr>
            <w:tcW w:w="390" w:type="pct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46EB8" w14:textId="6783E0ED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-6</w:t>
            </w:r>
          </w:p>
        </w:tc>
      </w:tr>
      <w:tr w:rsidR="00EC1EA7" w:rsidRPr="00EC1EA7" w14:paraId="54B83BC7" w14:textId="77777777" w:rsidTr="002D38C9">
        <w:trPr>
          <w:trHeight w:val="450"/>
        </w:trPr>
        <w:tc>
          <w:tcPr>
            <w:tcW w:w="365" w:type="pct"/>
            <w:tcBorders>
              <w:top w:val="nil"/>
              <w:left w:val="single" w:sz="4" w:space="0" w:color="000000"/>
              <w:bottom w:val="doub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19E46A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H</w:t>
            </w:r>
          </w:p>
        </w:tc>
        <w:tc>
          <w:tcPr>
            <w:tcW w:w="356" w:type="pct"/>
            <w:tcBorders>
              <w:top w:val="nil"/>
              <w:left w:val="single" w:sz="18" w:space="0" w:color="auto"/>
              <w:bottom w:val="double" w:sz="18" w:space="0" w:color="auto"/>
              <w:right w:val="nil"/>
            </w:tcBorders>
            <w:shd w:val="clear" w:color="000000" w:fill="F2F2F2"/>
            <w:vAlign w:val="center"/>
            <w:hideMark/>
          </w:tcPr>
          <w:p w14:paraId="615C8BB3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Blank</w:t>
            </w:r>
          </w:p>
        </w:tc>
        <w:tc>
          <w:tcPr>
            <w:tcW w:w="345" w:type="pct"/>
            <w:tcBorders>
              <w:top w:val="nil"/>
              <w:left w:val="single" w:sz="8" w:space="0" w:color="auto"/>
              <w:bottom w:val="doub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84006" w14:textId="2ADF9800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-7</w:t>
            </w:r>
          </w:p>
        </w:tc>
        <w:tc>
          <w:tcPr>
            <w:tcW w:w="345" w:type="pct"/>
            <w:tcBorders>
              <w:top w:val="nil"/>
              <w:left w:val="nil"/>
              <w:bottom w:val="doub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CF288" w14:textId="4A791E20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-7</w:t>
            </w:r>
          </w:p>
        </w:tc>
        <w:tc>
          <w:tcPr>
            <w:tcW w:w="345" w:type="pct"/>
            <w:tcBorders>
              <w:top w:val="nil"/>
              <w:left w:val="nil"/>
              <w:bottom w:val="doub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128C4" w14:textId="0F5EDBA9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-7</w:t>
            </w:r>
          </w:p>
        </w:tc>
        <w:tc>
          <w:tcPr>
            <w:tcW w:w="345" w:type="pct"/>
            <w:tcBorders>
              <w:top w:val="nil"/>
              <w:left w:val="nil"/>
              <w:bottom w:val="doub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5CD7B" w14:textId="080D8BB5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-7</w:t>
            </w:r>
          </w:p>
        </w:tc>
        <w:tc>
          <w:tcPr>
            <w:tcW w:w="355" w:type="pct"/>
            <w:tcBorders>
              <w:top w:val="nil"/>
              <w:left w:val="nil"/>
              <w:bottom w:val="doub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6C8BF34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COL4</w:t>
            </w:r>
          </w:p>
        </w:tc>
        <w:tc>
          <w:tcPr>
            <w:tcW w:w="359" w:type="pct"/>
            <w:tcBorders>
              <w:top w:val="nil"/>
              <w:left w:val="single" w:sz="18" w:space="0" w:color="auto"/>
              <w:bottom w:val="doub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BE75B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COL4</w:t>
            </w:r>
          </w:p>
        </w:tc>
        <w:tc>
          <w:tcPr>
            <w:tcW w:w="359" w:type="pct"/>
            <w:tcBorders>
              <w:top w:val="nil"/>
              <w:left w:val="nil"/>
              <w:bottom w:val="doub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79A7A" w14:textId="716F0CE9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-7</w:t>
            </w:r>
          </w:p>
        </w:tc>
        <w:tc>
          <w:tcPr>
            <w:tcW w:w="359" w:type="pct"/>
            <w:tcBorders>
              <w:top w:val="nil"/>
              <w:left w:val="nil"/>
              <w:bottom w:val="doub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DFD15" w14:textId="091A0C6B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-7</w:t>
            </w:r>
          </w:p>
        </w:tc>
        <w:tc>
          <w:tcPr>
            <w:tcW w:w="359" w:type="pct"/>
            <w:tcBorders>
              <w:top w:val="nil"/>
              <w:left w:val="nil"/>
              <w:bottom w:val="doub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2E266" w14:textId="11AA46ED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-7</w:t>
            </w:r>
          </w:p>
        </w:tc>
        <w:tc>
          <w:tcPr>
            <w:tcW w:w="359" w:type="pct"/>
            <w:tcBorders>
              <w:top w:val="nil"/>
              <w:left w:val="nil"/>
              <w:bottom w:val="doub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43FBD" w14:textId="47820DF3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-7</w:t>
            </w:r>
          </w:p>
        </w:tc>
        <w:tc>
          <w:tcPr>
            <w:tcW w:w="359" w:type="pct"/>
            <w:tcBorders>
              <w:top w:val="nil"/>
              <w:left w:val="single" w:sz="4" w:space="0" w:color="000000"/>
              <w:bottom w:val="double" w:sz="18" w:space="0" w:color="auto"/>
              <w:right w:val="single" w:sz="18" w:space="0" w:color="auto"/>
            </w:tcBorders>
            <w:shd w:val="clear" w:color="000000" w:fill="F2F2F2"/>
            <w:vAlign w:val="center"/>
            <w:hideMark/>
          </w:tcPr>
          <w:p w14:paraId="045E29F4" w14:textId="77777777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Blank</w:t>
            </w:r>
          </w:p>
        </w:tc>
        <w:tc>
          <w:tcPr>
            <w:tcW w:w="390" w:type="pct"/>
            <w:tcBorders>
              <w:top w:val="nil"/>
              <w:left w:val="single" w:sz="18" w:space="0" w:color="auto"/>
              <w:bottom w:val="double" w:sz="1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C2585" w14:textId="6E475D2A" w:rsidR="00EC1EA7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-7</w:t>
            </w:r>
          </w:p>
        </w:tc>
      </w:tr>
      <w:tr w:rsidR="00EC1EA7" w:rsidRPr="00EC1EA7" w14:paraId="26EBD97E" w14:textId="77777777" w:rsidTr="002D38C9">
        <w:trPr>
          <w:trHeight w:val="450"/>
        </w:trPr>
        <w:tc>
          <w:tcPr>
            <w:tcW w:w="365" w:type="pct"/>
            <w:tcBorders>
              <w:top w:val="doub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A20AD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host</w:t>
            </w:r>
          </w:p>
        </w:tc>
        <w:tc>
          <w:tcPr>
            <w:tcW w:w="356" w:type="pct"/>
            <w:tcBorders>
              <w:top w:val="doub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6F74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WT</w:t>
            </w:r>
          </w:p>
        </w:tc>
        <w:tc>
          <w:tcPr>
            <w:tcW w:w="345" w:type="pct"/>
            <w:tcBorders>
              <w:top w:val="doub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4907A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WT</w:t>
            </w:r>
          </w:p>
        </w:tc>
        <w:tc>
          <w:tcPr>
            <w:tcW w:w="345" w:type="pct"/>
            <w:tcBorders>
              <w:top w:val="doub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78245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WT</w:t>
            </w:r>
          </w:p>
        </w:tc>
        <w:tc>
          <w:tcPr>
            <w:tcW w:w="345" w:type="pct"/>
            <w:tcBorders>
              <w:top w:val="doub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D64C2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WT</w:t>
            </w:r>
          </w:p>
        </w:tc>
        <w:tc>
          <w:tcPr>
            <w:tcW w:w="345" w:type="pct"/>
            <w:tcBorders>
              <w:top w:val="doub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F6290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WT</w:t>
            </w:r>
          </w:p>
        </w:tc>
        <w:tc>
          <w:tcPr>
            <w:tcW w:w="355" w:type="pct"/>
            <w:tcBorders>
              <w:top w:val="doub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5D4D9FE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WT</w:t>
            </w:r>
          </w:p>
        </w:tc>
        <w:tc>
          <w:tcPr>
            <w:tcW w:w="359" w:type="pct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BE181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spoIIE</w:t>
            </w:r>
          </w:p>
        </w:tc>
        <w:tc>
          <w:tcPr>
            <w:tcW w:w="359" w:type="pct"/>
            <w:tcBorders>
              <w:top w:val="doub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6F1DA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spoIIE</w:t>
            </w:r>
          </w:p>
        </w:tc>
        <w:tc>
          <w:tcPr>
            <w:tcW w:w="359" w:type="pct"/>
            <w:tcBorders>
              <w:top w:val="doub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8DF75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spoIIE</w:t>
            </w:r>
          </w:p>
        </w:tc>
        <w:tc>
          <w:tcPr>
            <w:tcW w:w="359" w:type="pct"/>
            <w:tcBorders>
              <w:top w:val="doub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16C3C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spoIIE</w:t>
            </w:r>
          </w:p>
        </w:tc>
        <w:tc>
          <w:tcPr>
            <w:tcW w:w="359" w:type="pct"/>
            <w:tcBorders>
              <w:top w:val="doub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226BE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spoIIE</w:t>
            </w:r>
          </w:p>
        </w:tc>
        <w:tc>
          <w:tcPr>
            <w:tcW w:w="359" w:type="pct"/>
            <w:tcBorders>
              <w:top w:val="doub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524E8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spoIIE</w:t>
            </w:r>
          </w:p>
        </w:tc>
        <w:tc>
          <w:tcPr>
            <w:tcW w:w="390" w:type="pct"/>
            <w:tcBorders>
              <w:top w:val="doub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5C8FA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</w:p>
        </w:tc>
      </w:tr>
      <w:tr w:rsidR="00EC1EA7" w:rsidRPr="00EC1EA7" w14:paraId="14746214" w14:textId="77777777" w:rsidTr="002D38C9">
        <w:trPr>
          <w:trHeight w:val="450"/>
        </w:trPr>
        <w:tc>
          <w:tcPr>
            <w:tcW w:w="3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72DE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colony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A7C0D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All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5CA8C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8562B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E8C74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COL3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405F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COL4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755244D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All</w:t>
            </w:r>
          </w:p>
        </w:tc>
        <w:tc>
          <w:tcPr>
            <w:tcW w:w="35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62C1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All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F7C93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AF3E9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C09B0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C68D2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E2FDB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All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D027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</w:p>
        </w:tc>
      </w:tr>
      <w:tr w:rsidR="00EC1EA7" w:rsidRPr="00EC1EA7" w14:paraId="19F706CE" w14:textId="77777777" w:rsidTr="002D38C9">
        <w:trPr>
          <w:trHeight w:val="450"/>
        </w:trPr>
        <w:tc>
          <w:tcPr>
            <w:tcW w:w="3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3611F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phage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1C384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no phage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69651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16277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B3C2F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0AAF6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5DB4CF6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no phage</w:t>
            </w:r>
          </w:p>
        </w:tc>
        <w:tc>
          <w:tcPr>
            <w:tcW w:w="35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4544B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no phage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29803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E91F7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299A2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C9AB7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4789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no phage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F95C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</w:p>
        </w:tc>
      </w:tr>
    </w:tbl>
    <w:p w14:paraId="6E87905C" w14:textId="77777777" w:rsidR="00316D01" w:rsidRPr="00FB64CC" w:rsidRDefault="00316D01" w:rsidP="00932D22">
      <w:pPr>
        <w:jc w:val="both"/>
      </w:pPr>
    </w:p>
    <w:sectPr w:rsidR="00316D01" w:rsidRPr="00FB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70C6"/>
    <w:multiLevelType w:val="hybridMultilevel"/>
    <w:tmpl w:val="89C60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F4887"/>
    <w:multiLevelType w:val="hybridMultilevel"/>
    <w:tmpl w:val="3F46F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E36487"/>
    <w:multiLevelType w:val="hybridMultilevel"/>
    <w:tmpl w:val="AE2C79FA"/>
    <w:lvl w:ilvl="0" w:tplc="5E74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A57D87"/>
    <w:multiLevelType w:val="hybridMultilevel"/>
    <w:tmpl w:val="3804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CC"/>
    <w:rsid w:val="000A4DBF"/>
    <w:rsid w:val="00145C47"/>
    <w:rsid w:val="00154F53"/>
    <w:rsid w:val="002040F4"/>
    <w:rsid w:val="002524DF"/>
    <w:rsid w:val="00255C12"/>
    <w:rsid w:val="002D38C9"/>
    <w:rsid w:val="00316D01"/>
    <w:rsid w:val="00430B2D"/>
    <w:rsid w:val="00516CBF"/>
    <w:rsid w:val="00531EB9"/>
    <w:rsid w:val="00562679"/>
    <w:rsid w:val="00620561"/>
    <w:rsid w:val="00770C2D"/>
    <w:rsid w:val="00834534"/>
    <w:rsid w:val="009002A8"/>
    <w:rsid w:val="00932D22"/>
    <w:rsid w:val="00A30207"/>
    <w:rsid w:val="00A52EAD"/>
    <w:rsid w:val="00A97318"/>
    <w:rsid w:val="00B2015A"/>
    <w:rsid w:val="00BD3314"/>
    <w:rsid w:val="00BF3E54"/>
    <w:rsid w:val="00C053DF"/>
    <w:rsid w:val="00C654FA"/>
    <w:rsid w:val="00D032E3"/>
    <w:rsid w:val="00DA7EB7"/>
    <w:rsid w:val="00EB49CF"/>
    <w:rsid w:val="00EC1EA7"/>
    <w:rsid w:val="00F47E38"/>
    <w:rsid w:val="00F60E36"/>
    <w:rsid w:val="00F61C20"/>
    <w:rsid w:val="00F751BC"/>
    <w:rsid w:val="00F867E7"/>
    <w:rsid w:val="00F9521C"/>
    <w:rsid w:val="00FB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C5C3"/>
  <w15:chartTrackingRefBased/>
  <w15:docId w15:val="{4138E360-4B3D-42D0-950D-91EAFC53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Bidi" w:eastAsiaTheme="minorHAnsi" w:hAnsiTheme="majorBidi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B64CC"/>
    <w:rPr>
      <w:i/>
      <w:iCs/>
    </w:rPr>
  </w:style>
  <w:style w:type="paragraph" w:styleId="ListParagraph">
    <w:name w:val="List Paragraph"/>
    <w:basedOn w:val="Normal"/>
    <w:uiPriority w:val="34"/>
    <w:qFormat/>
    <w:rsid w:val="00316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ebertpub.com/doi/10.1089/phage.2019.000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8C51EE365F5D4B8180B2DF293DC3C3" ma:contentTypeVersion="4" ma:contentTypeDescription="Create a new document." ma:contentTypeScope="" ma:versionID="4264a9a55f7ddd9513df702faa9d43bf">
  <xsd:schema xmlns:xsd="http://www.w3.org/2001/XMLSchema" xmlns:xs="http://www.w3.org/2001/XMLSchema" xmlns:p="http://schemas.microsoft.com/office/2006/metadata/properties" xmlns:ns3="44c304e9-cfec-4a16-982c-b56fcd79a1a5" targetNamespace="http://schemas.microsoft.com/office/2006/metadata/properties" ma:root="true" ma:fieldsID="21db5e10f950a696aec9e8bd0a30c5e8" ns3:_="">
    <xsd:import namespace="44c304e9-cfec-4a16-982c-b56fcd79a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304e9-cfec-4a16-982c-b56fcd79a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CE004B-690D-412A-A44B-A17A42C4E3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56BA86-A527-41CC-BFF5-B3DE0EFA7D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230C77-0FA9-425D-A78C-879B35CB9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c304e9-cfec-4a16-982c-b56fcd79a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Daniel</dc:creator>
  <cp:keywords/>
  <dc:description/>
  <cp:lastModifiedBy>danschw</cp:lastModifiedBy>
  <cp:revision>17</cp:revision>
  <dcterms:created xsi:type="dcterms:W3CDTF">2020-03-16T18:51:00Z</dcterms:created>
  <dcterms:modified xsi:type="dcterms:W3CDTF">2020-03-17T15:08:00Z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0x010100308C51EE365F5D4B8180B2DF293DC3C3</vt:lpwstr>
  </property>
</Properties>
</file>