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htwpqh7ln0a" w:id="0"/>
      <w:bookmarkEnd w:id="0"/>
      <w:r w:rsidDel="00000000" w:rsidR="00000000" w:rsidRPr="00000000">
        <w:rPr>
          <w:rtl w:val="0"/>
        </w:rPr>
        <w:t xml:space="preserve">Flowcharts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x8wg1fiuhy3" w:id="1"/>
      <w:bookmarkEnd w:id="1"/>
      <w:r w:rsidDel="00000000" w:rsidR="00000000" w:rsidRPr="00000000">
        <w:rPr>
          <w:rtl w:val="0"/>
        </w:rPr>
        <w:t xml:space="preserve">extraction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76446" cy="7700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446" cy="770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rb97zw6adh3h" w:id="2"/>
      <w:bookmarkEnd w:id="2"/>
      <w:r w:rsidDel="00000000" w:rsidR="00000000" w:rsidRPr="00000000">
        <w:rPr>
          <w:rtl w:val="0"/>
        </w:rPr>
        <w:t xml:space="preserve">Subscribing to our service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2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