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val="0"/>
        <w:overflowPunct/>
        <w:topLinePunct w:val="0"/>
        <w:autoSpaceDE/>
        <w:autoSpaceDN/>
        <w:bidi w:val="0"/>
        <w:adjustRightInd/>
        <w:snapToGrid/>
        <w:spacing w:line="480" w:lineRule="auto"/>
        <w:jc w:val="center"/>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电动三轮车、电动两轮车出口数据补充</w:t>
      </w:r>
    </w:p>
    <w:p>
      <w:pPr>
        <w:keepNext w:val="0"/>
        <w:keepLines w:val="0"/>
        <w:pageBreakBefore w:val="0"/>
        <w:widowControl w:val="0"/>
        <w:kinsoku/>
        <w:wordWrap w:val="0"/>
        <w:overflowPunct/>
        <w:topLinePunct w:val="0"/>
        <w:autoSpaceDE/>
        <w:autoSpaceDN/>
        <w:bidi w:val="0"/>
        <w:adjustRightInd/>
        <w:snapToGrid/>
        <w:spacing w:line="400" w:lineRule="exact"/>
        <w:textAlignment w:val="auto"/>
        <w:rPr>
          <w:rFonts w:hint="default" w:ascii="Times New Roman Regular" w:hAnsi="Times New Roman Regular" w:cs="Times New Roman Regular"/>
          <w:b/>
          <w:bCs/>
          <w:sz w:val="22"/>
          <w:szCs w:val="22"/>
          <w:lang w:val="en-US" w:eastAsia="zh-CN"/>
        </w:rPr>
      </w:pPr>
      <w:r>
        <w:rPr>
          <w:rFonts w:hint="default" w:ascii="Times New Roman Regular" w:hAnsi="Times New Roman Regular" w:cs="Times New Roman Regular"/>
          <w:b/>
          <w:bCs/>
          <w:sz w:val="22"/>
          <w:szCs w:val="22"/>
          <w:lang w:val="en-US" w:eastAsia="zh-CN"/>
        </w:rPr>
        <w:t>产业链（国家层面，重在分析产业逻辑、供需匹配，体现出口价值）</w:t>
      </w:r>
    </w:p>
    <w:p>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中国海关数据统计，2025年我国电动两轮车全年出口量超2670万辆、出口额达68.29亿美元，同比稳步攀升。</w:t>
      </w:r>
    </w:p>
    <w:p>
      <w:pPr>
        <w:keepNext w:val="0"/>
        <w:keepLines w:val="0"/>
        <w:pageBreakBefore w:val="0"/>
        <w:widowControl w:val="0"/>
        <w:numPr>
          <w:numId w:val="0"/>
        </w:numPr>
        <w:kinsoku/>
        <w:wordWrap w:val="0"/>
        <w:overflowPunct/>
        <w:topLinePunct w:val="0"/>
        <w:autoSpaceDE/>
        <w:autoSpaceDN/>
        <w:bidi w:val="0"/>
        <w:adjustRightInd/>
        <w:snapToGrid/>
        <w:spacing w:line="400" w:lineRule="exact"/>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（来源人民日报https://baijiahao.baidu.com/s?id=1866934125949559964&amp;wfr=spider&amp;for=pc）</w:t>
      </w:r>
    </w:p>
    <w:p>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2020年-2025年我国“电动摩托车及脚踏车”出口量</w:t>
      </w:r>
      <w:r>
        <w:rPr>
          <w:rFonts w:hint="eastAsia" w:ascii="Times New Roman Regular" w:hAnsi="Times New Roman Regular" w:cs="Times New Roman Regular"/>
          <w:sz w:val="21"/>
          <w:szCs w:val="21"/>
          <w:lang w:val="en-US" w:eastAsia="zh-CN"/>
        </w:rPr>
        <w:t>。</w:t>
      </w:r>
    </w:p>
    <w:p>
      <w:pPr>
        <w:keepNext w:val="0"/>
        <w:keepLines w:val="0"/>
        <w:pageBreakBefore w:val="0"/>
        <w:widowControl w:val="0"/>
        <w:numPr>
          <w:numId w:val="0"/>
        </w:numPr>
        <w:kinsoku/>
        <w:wordWrap w:val="0"/>
        <w:overflowPunct/>
        <w:topLinePunct w:val="0"/>
        <w:autoSpaceDE/>
        <w:autoSpaceDN/>
        <w:bidi w:val="0"/>
        <w:adjustRightInd/>
        <w:snapToGrid/>
        <w:spacing w:line="400" w:lineRule="exact"/>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（来源中华人民共和国海关总署http://stats.customs.gov.cn）</w:t>
      </w:r>
    </w:p>
    <w:p>
      <w:pPr>
        <w:keepNext w:val="0"/>
        <w:keepLines w:val="0"/>
        <w:pageBreakBefore w:val="0"/>
        <w:widowControl w:val="0"/>
        <w:numPr>
          <w:numId w:val="0"/>
        </w:numPr>
        <w:kinsoku/>
        <w:wordWrap w:val="0"/>
        <w:overflowPunct/>
        <w:topLinePunct w:val="0"/>
        <w:autoSpaceDE/>
        <w:autoSpaceDN/>
        <w:bidi w:val="0"/>
        <w:adjustRightInd/>
        <w:snapToGrid/>
        <w:spacing w:line="400" w:lineRule="exact"/>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2025年出口量</w:t>
      </w:r>
      <w:r>
        <w:rPr>
          <w:rFonts w:hint="default" w:ascii="Times New Roman Regular" w:hAnsi="Times New Roman Regular" w:cs="Times New Roman Regular"/>
          <w:sz w:val="21"/>
          <w:szCs w:val="21"/>
          <w:lang w:val="en-US" w:eastAsia="zh-CN"/>
        </w:rPr>
        <w:t>2674万辆</w:t>
      </w:r>
      <w:r>
        <w:rPr>
          <w:rFonts w:hint="default" w:ascii="Times New Roman Regular" w:hAnsi="Times New Roman Regular" w:cs="Times New Roman Regular"/>
          <w:sz w:val="21"/>
          <w:szCs w:val="21"/>
          <w:lang w:val="en-US" w:eastAsia="zh-CN"/>
        </w:rPr>
        <w:t>，出口额</w:t>
      </w:r>
      <w:r>
        <w:rPr>
          <w:rFonts w:hint="default" w:ascii="Times New Roman Regular" w:hAnsi="Times New Roman Regular" w:cs="Times New Roman Regular"/>
          <w:sz w:val="21"/>
          <w:szCs w:val="21"/>
          <w:lang w:val="en-US" w:eastAsia="zh-CN"/>
        </w:rPr>
        <w:t>68.3亿美元</w:t>
      </w:r>
      <w:r>
        <w:rPr>
          <w:rFonts w:hint="default" w:ascii="Times New Roman Regular" w:hAnsi="Times New Roman Regular" w:cs="Times New Roman Regular"/>
          <w:sz w:val="21"/>
          <w:szCs w:val="21"/>
          <w:lang w:val="en-US" w:eastAsia="zh-CN"/>
        </w:rPr>
        <w:t>。</w:t>
      </w:r>
    </w:p>
    <w:p>
      <w:pPr>
        <w:keepNext w:val="0"/>
        <w:keepLines w:val="0"/>
        <w:pageBreakBefore w:val="0"/>
        <w:widowControl w:val="0"/>
        <w:numPr>
          <w:numId w:val="0"/>
        </w:numPr>
        <w:kinsoku/>
        <w:wordWrap w:val="0"/>
        <w:overflowPunct/>
        <w:topLinePunct w:val="0"/>
        <w:autoSpaceDE/>
        <w:autoSpaceDN/>
        <w:bidi w:val="0"/>
        <w:adjustRightInd/>
        <w:snapToGrid/>
        <w:spacing w:line="400" w:lineRule="exact"/>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2024年出口量2213万辆，出口额58.</w:t>
      </w:r>
      <w:bookmarkStart w:id="0" w:name="_GoBack"/>
      <w:bookmarkEnd w:id="0"/>
      <w:r>
        <w:rPr>
          <w:rFonts w:hint="default" w:ascii="Times New Roman Regular" w:hAnsi="Times New Roman Regular" w:cs="Times New Roman Regular"/>
          <w:sz w:val="21"/>
          <w:szCs w:val="21"/>
          <w:lang w:val="en-US" w:eastAsia="zh-CN"/>
        </w:rPr>
        <w:t>2亿美元。</w:t>
      </w:r>
    </w:p>
    <w:p>
      <w:pPr>
        <w:keepNext w:val="0"/>
        <w:keepLines w:val="0"/>
        <w:pageBreakBefore w:val="0"/>
        <w:widowControl w:val="0"/>
        <w:numPr>
          <w:numId w:val="0"/>
        </w:numPr>
        <w:kinsoku/>
        <w:wordWrap w:val="0"/>
        <w:overflowPunct/>
        <w:topLinePunct w:val="0"/>
        <w:autoSpaceDE/>
        <w:autoSpaceDN/>
        <w:bidi w:val="0"/>
        <w:adjustRightInd/>
        <w:snapToGrid/>
        <w:spacing w:line="400" w:lineRule="exact"/>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2023年出口量1505万辆，出口额45.6亿美元。</w:t>
      </w:r>
    </w:p>
    <w:p>
      <w:pPr>
        <w:keepNext w:val="0"/>
        <w:keepLines w:val="0"/>
        <w:pageBreakBefore w:val="0"/>
        <w:widowControl w:val="0"/>
        <w:numPr>
          <w:numId w:val="0"/>
        </w:numPr>
        <w:kinsoku/>
        <w:wordWrap w:val="0"/>
        <w:overflowPunct/>
        <w:topLinePunct w:val="0"/>
        <w:autoSpaceDE/>
        <w:autoSpaceDN/>
        <w:bidi w:val="0"/>
        <w:adjustRightInd/>
        <w:snapToGrid/>
        <w:spacing w:line="400" w:lineRule="exact"/>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2022年出口量1617万辆，出口额53.4亿美元。</w:t>
      </w:r>
    </w:p>
    <w:p>
      <w:pPr>
        <w:keepNext w:val="0"/>
        <w:keepLines w:val="0"/>
        <w:pageBreakBefore w:val="0"/>
        <w:widowControl w:val="0"/>
        <w:numPr>
          <w:numId w:val="0"/>
        </w:numPr>
        <w:kinsoku/>
        <w:wordWrap w:val="0"/>
        <w:overflowPunct/>
        <w:topLinePunct w:val="0"/>
        <w:autoSpaceDE/>
        <w:autoSpaceDN/>
        <w:bidi w:val="0"/>
        <w:adjustRightInd/>
        <w:snapToGrid/>
        <w:spacing w:line="400" w:lineRule="exact"/>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2021年</w:t>
      </w:r>
      <w:r>
        <w:rPr>
          <w:rFonts w:hint="default" w:ascii="Times New Roman Regular" w:hAnsi="Times New Roman Regular" w:cs="Times New Roman Regular"/>
          <w:sz w:val="21"/>
          <w:szCs w:val="21"/>
          <w:lang w:val="en-US" w:eastAsia="zh-CN"/>
        </w:rPr>
        <w:t>出口量2290万</w:t>
      </w:r>
      <w:r>
        <w:rPr>
          <w:rFonts w:hint="default" w:ascii="Times New Roman Regular" w:hAnsi="Times New Roman Regular" w:cs="Times New Roman Regular"/>
          <w:sz w:val="21"/>
          <w:szCs w:val="21"/>
          <w:lang w:val="en-US" w:eastAsia="zh-CN"/>
        </w:rPr>
        <w:t>辆，</w:t>
      </w:r>
      <w:r>
        <w:rPr>
          <w:rFonts w:hint="default" w:ascii="Times New Roman Regular" w:hAnsi="Times New Roman Regular" w:cs="Times New Roman Regular"/>
          <w:sz w:val="21"/>
          <w:szCs w:val="21"/>
          <w:lang w:val="en-US" w:eastAsia="zh-CN"/>
        </w:rPr>
        <w:t>出口额52.8亿美元</w:t>
      </w:r>
      <w:r>
        <w:rPr>
          <w:rFonts w:hint="default" w:ascii="Times New Roman Regular" w:hAnsi="Times New Roman Regular" w:cs="Times New Roman Regular"/>
          <w:sz w:val="21"/>
          <w:szCs w:val="21"/>
          <w:lang w:val="en-US" w:eastAsia="zh-CN"/>
        </w:rPr>
        <w:t>。</w:t>
      </w:r>
    </w:p>
    <w:p>
      <w:pPr>
        <w:keepNext w:val="0"/>
        <w:keepLines w:val="0"/>
        <w:pageBreakBefore w:val="0"/>
        <w:widowControl w:val="0"/>
        <w:numPr>
          <w:numId w:val="0"/>
        </w:numPr>
        <w:kinsoku/>
        <w:wordWrap w:val="0"/>
        <w:overflowPunct/>
        <w:topLinePunct w:val="0"/>
        <w:autoSpaceDE/>
        <w:autoSpaceDN/>
        <w:bidi w:val="0"/>
        <w:adjustRightInd/>
        <w:snapToGrid/>
        <w:spacing w:line="400" w:lineRule="exact"/>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2020年出口量1794万辆，出口额35.1亿美元。</w:t>
      </w:r>
    </w:p>
    <w:p>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2026年仅第一季度，我国电动两轮车出口约720万辆，同比暴增68.2%。电动三轮车也不甘示弱。在其主产区徐州，海关数据显示，2026年一到四月，电动三轮车出口额突破1.68亿元，同比暴增87.2%。</w:t>
      </w:r>
    </w:p>
    <w:p>
      <w:pPr>
        <w:keepNext w:val="0"/>
        <w:keepLines w:val="0"/>
        <w:pageBreakBefore w:val="0"/>
        <w:widowControl w:val="0"/>
        <w:numPr>
          <w:numId w:val="0"/>
        </w:numPr>
        <w:kinsoku/>
        <w:wordWrap w:val="0"/>
        <w:overflowPunct/>
        <w:topLinePunct w:val="0"/>
        <w:autoSpaceDE/>
        <w:autoSpaceDN/>
        <w:bidi w:val="0"/>
        <w:adjustRightInd/>
        <w:snapToGrid/>
        <w:spacing w:line="400" w:lineRule="exact"/>
        <w:ind w:leftChars="0"/>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（厦门广电https://m.gmw.cn/2026-06/04/content_1304484032.htm）</w:t>
      </w:r>
    </w:p>
    <w:p>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（国内市场）</w:t>
      </w:r>
      <w:r>
        <w:rPr>
          <w:rFonts w:hint="default" w:ascii="Times New Roman Regular" w:hAnsi="Times New Roman Regular" w:cs="Times New Roman Regular"/>
          <w:sz w:val="21"/>
          <w:szCs w:val="21"/>
          <w:lang w:val="en-US" w:eastAsia="zh-CN"/>
        </w:rPr>
        <w:t>电动三轮车的市场均价从2022年开始一路攀升，达到了2855元/辆的历史新高。在需求激增和价格上涨的双重推动下，我国电动三轮车行业的市场规模也在不断扩大。从2017—2022年，市场规模从257.24亿元一路飙升至398.27亿元，展现出了行业的强大活力和广阔前景。</w:t>
      </w:r>
    </w:p>
    <w:p>
      <w:pPr>
        <w:keepNext w:val="0"/>
        <w:keepLines w:val="0"/>
        <w:pageBreakBefore w:val="0"/>
        <w:widowControl w:val="0"/>
        <w:numPr>
          <w:numId w:val="0"/>
        </w:numPr>
        <w:kinsoku/>
        <w:wordWrap w:val="0"/>
        <w:overflowPunct/>
        <w:topLinePunct w:val="0"/>
        <w:autoSpaceDE/>
        <w:autoSpaceDN/>
        <w:bidi w:val="0"/>
        <w:adjustRightInd/>
        <w:snapToGrid/>
        <w:spacing w:line="400" w:lineRule="exact"/>
        <w:ind w:leftChars="0"/>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（王治山.国货赢得海外青睐，电动三轮未来可期[J].商业观察,2024,10(23):6-9.）</w:t>
      </w:r>
    </w:p>
    <w:p>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（2024年）</w:t>
      </w:r>
      <w:r>
        <w:rPr>
          <w:rFonts w:hint="default" w:ascii="Times New Roman Regular" w:hAnsi="Times New Roman Regular" w:cs="Times New Roman Regular"/>
          <w:sz w:val="21"/>
          <w:szCs w:val="21"/>
          <w:lang w:val="en-US" w:eastAsia="zh-CN"/>
        </w:rPr>
        <w:t>今年以来，国产电动三轮车在跨境电商平台下单量持续增长，截至5月底，电动三轮车在阿里国际站的海外订单同比增长超过35%。</w:t>
      </w:r>
    </w:p>
    <w:p>
      <w:pPr>
        <w:keepNext w:val="0"/>
        <w:keepLines w:val="0"/>
        <w:pageBreakBefore w:val="0"/>
        <w:widowControl w:val="0"/>
        <w:numPr>
          <w:numId w:val="0"/>
        </w:numPr>
        <w:kinsoku/>
        <w:wordWrap w:val="0"/>
        <w:overflowPunct/>
        <w:topLinePunct w:val="0"/>
        <w:autoSpaceDE/>
        <w:autoSpaceDN/>
        <w:bidi w:val="0"/>
        <w:adjustRightInd/>
        <w:snapToGrid/>
        <w:spacing w:line="400" w:lineRule="exact"/>
        <w:ind w:leftChars="0"/>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（韩鑫.国产电动三轮车缘何热销海外[N].人民日报,2024-06-26(018).DOI:10.28655/n.cnki.nrmrb.2024.006791.）</w:t>
      </w:r>
    </w:p>
    <w:p>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0" w:leftChars="0" w:firstLine="0" w:firstLineChars="0"/>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无论是在CES 2024（国际消费类电子产品展览会），还是在EICMA 2023（米兰摩托车展），国产电动三轮车都俘获了一众外国人的心。为期4天的EICMA 2023，国内电动三轮车企业斩获订单无数，总金额高达2000万美元。业内人士指出，物以稀为贵。2023年，三蹦子全球市场销售额为618.6亿元，但欧美市场占比仅5.14%，“相比于在国内见怪不怪，三蹦子在国外，是个稀罕物”。根据中国电动三轮车行业数据，2016年至2020年，我国作为全球电动三轮车最大的市场，国产电动三轮车销售额从300亿元已逐步跌至260亿元，年均复合增长率-3.5%，趋于饱和。“不知多少国内厂商正盯着海外这片蓝海，从年初各大展会中可见一斑。”在CES 2024上，国产电动车、充电枪等吸引不少参展人士围观。</w:t>
      </w:r>
    </w:p>
    <w:p>
      <w:pPr>
        <w:keepNext w:val="0"/>
        <w:keepLines w:val="0"/>
        <w:pageBreakBefore w:val="0"/>
        <w:widowControl w:val="0"/>
        <w:numPr>
          <w:numId w:val="0"/>
        </w:numPr>
        <w:kinsoku/>
        <w:wordWrap w:val="0"/>
        <w:overflowPunct/>
        <w:topLinePunct w:val="0"/>
        <w:autoSpaceDE/>
        <w:autoSpaceDN/>
        <w:bidi w:val="0"/>
        <w:adjustRightInd/>
        <w:snapToGrid/>
        <w:spacing w:line="400" w:lineRule="exact"/>
        <w:ind w:leftChars="0"/>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（潮声,谢丹颖,叶诗蕾,等.三蹦子出海，能跑多远[N].浙江日报,2024-04-08(005).DOI:10.38328/n.cnki.nzjrb.2024.001371.）</w:t>
      </w:r>
    </w:p>
    <w:p>
      <w:pPr>
        <w:keepNext w:val="0"/>
        <w:keepLines w:val="0"/>
        <w:pageBreakBefore w:val="0"/>
        <w:widowControl w:val="0"/>
        <w:numPr>
          <w:numId w:val="0"/>
        </w:numPr>
        <w:kinsoku/>
        <w:wordWrap w:val="0"/>
        <w:overflowPunct/>
        <w:topLinePunct w:val="0"/>
        <w:autoSpaceDE/>
        <w:autoSpaceDN/>
        <w:bidi w:val="0"/>
        <w:adjustRightInd/>
        <w:snapToGrid/>
        <w:spacing w:line="400" w:lineRule="exact"/>
        <w:textAlignment w:val="auto"/>
        <w:rPr>
          <w:rFonts w:hint="default" w:ascii="Times New Roman Regular" w:hAnsi="Times New Roman Regular" w:cs="Times New Roman Regular"/>
          <w:sz w:val="21"/>
          <w:szCs w:val="21"/>
          <w:lang w:val="en-US" w:eastAsia="zh-CN"/>
        </w:rPr>
      </w:pPr>
    </w:p>
    <w:p>
      <w:pPr>
        <w:keepNext w:val="0"/>
        <w:keepLines w:val="0"/>
        <w:pageBreakBefore w:val="0"/>
        <w:widowControl w:val="0"/>
        <w:numPr>
          <w:numId w:val="0"/>
        </w:numPr>
        <w:kinsoku/>
        <w:wordWrap w:val="0"/>
        <w:overflowPunct/>
        <w:topLinePunct w:val="0"/>
        <w:autoSpaceDE/>
        <w:autoSpaceDN/>
        <w:bidi w:val="0"/>
        <w:adjustRightInd/>
        <w:snapToGrid/>
        <w:spacing w:line="400" w:lineRule="exact"/>
        <w:textAlignment w:val="auto"/>
        <w:rPr>
          <w:rFonts w:hint="default" w:ascii="Times New Roman Regular" w:hAnsi="Times New Roman Regular" w:cs="Times New Roman Regular"/>
          <w:b/>
          <w:bCs/>
          <w:sz w:val="22"/>
          <w:szCs w:val="22"/>
          <w:lang w:val="en-US" w:eastAsia="zh-CN"/>
        </w:rPr>
      </w:pPr>
      <w:r>
        <w:rPr>
          <w:rFonts w:hint="default" w:ascii="Times New Roman Regular" w:hAnsi="Times New Roman Regular" w:cs="Times New Roman Regular"/>
          <w:b/>
          <w:bCs/>
          <w:sz w:val="22"/>
          <w:szCs w:val="22"/>
          <w:lang w:val="en-US" w:eastAsia="zh-CN"/>
        </w:rPr>
        <w:t>产业带（代表</w:t>
      </w:r>
      <w:r>
        <w:rPr>
          <w:rFonts w:hint="eastAsia" w:ascii="Times New Roman Regular" w:hAnsi="Times New Roman Regular" w:cs="Times New Roman Regular"/>
          <w:b/>
          <w:bCs/>
          <w:sz w:val="22"/>
          <w:szCs w:val="22"/>
          <w:lang w:val="en-US" w:eastAsia="zh-CN"/>
        </w:rPr>
        <w:t>性</w:t>
      </w:r>
      <w:r>
        <w:rPr>
          <w:rFonts w:hint="default" w:ascii="Times New Roman Regular" w:hAnsi="Times New Roman Regular" w:cs="Times New Roman Regular"/>
          <w:b/>
          <w:bCs/>
          <w:sz w:val="22"/>
          <w:szCs w:val="22"/>
          <w:lang w:val="en-US" w:eastAsia="zh-CN"/>
        </w:rPr>
        <w:t>区域，重在分析集聚表现、资源整合，体现出口高效）</w:t>
      </w:r>
    </w:p>
    <w:p>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历经多年发展，</w:t>
      </w:r>
      <w:r>
        <w:rPr>
          <w:rFonts w:hint="default" w:ascii="Times New Roman Regular" w:hAnsi="Times New Roman Regular" w:cs="Times New Roman Regular"/>
          <w:b/>
          <w:bCs/>
          <w:sz w:val="21"/>
          <w:szCs w:val="21"/>
          <w:lang w:val="en-US" w:eastAsia="zh-CN"/>
        </w:rPr>
        <w:t>丰县</w:t>
      </w:r>
      <w:r>
        <w:rPr>
          <w:rFonts w:hint="default" w:ascii="Times New Roman Regular" w:hAnsi="Times New Roman Regular" w:cs="Times New Roman Regular"/>
          <w:sz w:val="21"/>
          <w:szCs w:val="21"/>
          <w:lang w:val="en-US" w:eastAsia="zh-CN"/>
        </w:rPr>
        <w:t>已成功打造集研发、生产、销售于一体的完整电动车产业链。据统计，丰县累计拥有新能源电动车整车及配套企业1000多家，年整车生产能力超500万辆，电动三轮车市场份额占国内60%以上，电机市场份额占国内95%以上，产品出口到130多个国家。</w:t>
      </w:r>
    </w:p>
    <w:p>
      <w:pPr>
        <w:keepNext w:val="0"/>
        <w:keepLines w:val="0"/>
        <w:pageBreakBefore w:val="0"/>
        <w:widowControl w:val="0"/>
        <w:numPr>
          <w:numId w:val="0"/>
        </w:numPr>
        <w:kinsoku/>
        <w:wordWrap w:val="0"/>
        <w:overflowPunct/>
        <w:topLinePunct w:val="0"/>
        <w:autoSpaceDE/>
        <w:autoSpaceDN/>
        <w:bidi w:val="0"/>
        <w:adjustRightInd/>
        <w:snapToGrid/>
        <w:spacing w:line="400" w:lineRule="exact"/>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（魏静,王若卉.国产电动“三蹦子”海外走红江苏丰县出口风潮正劲[N].消费日报,2025-06-20(B01).DOI:10.28866/n.cnki.nxfrb.2025.001579.）</w:t>
      </w:r>
    </w:p>
    <w:p>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自2001年</w:t>
      </w:r>
      <w:r>
        <w:rPr>
          <w:rFonts w:hint="default" w:ascii="Times New Roman Regular" w:hAnsi="Times New Roman Regular" w:cs="Times New Roman Regular"/>
          <w:b/>
          <w:bCs/>
          <w:sz w:val="21"/>
          <w:szCs w:val="21"/>
          <w:lang w:val="en-US" w:eastAsia="zh-CN"/>
        </w:rPr>
        <w:t>丰县</w:t>
      </w:r>
      <w:r>
        <w:rPr>
          <w:rFonts w:hint="default" w:ascii="Times New Roman Regular" w:hAnsi="Times New Roman Regular" w:cs="Times New Roman Regular"/>
          <w:sz w:val="21"/>
          <w:szCs w:val="21"/>
          <w:lang w:val="en-US" w:eastAsia="zh-CN"/>
        </w:rPr>
        <w:t>第一家电动车企业——徐州百事利电动车业有限公司成立，历经二十余年深耕培育，如今丰县已集聚整车及零部件生产企业超1400家。目前，丰县年产整车超500万辆，国内市场占有率60%以上。核心零部件竞争力尤为突出，电机产品国内市场占有率超95%，车架、控制器、电池等关键部件可实现“半小时配套齐全”。当前，丰县电动三轮车全产业链体系已成型，电机、控制器等核心零部件自主化率超90%。高效顺畅的供应链体系，离不开政企协同、上下联动的产业布局。丰县以经济开发区、常店镇为重点，其他板块协同、配套、互补发展，集中打造了新能源车辆产业发展“2+N”空间布局。丰县常店镇党委书记崔景栋介绍，作为全县电动三轮车的核心承载区，常店镇电动车产业园目前已入驻生产及配套企业1000余家，占全部企业的70%。其中，国家级高新技术企业39家、规模以上企业98家。</w:t>
      </w:r>
    </w:p>
    <w:p>
      <w:pPr>
        <w:keepNext w:val="0"/>
        <w:keepLines w:val="0"/>
        <w:pageBreakBefore w:val="0"/>
        <w:widowControl w:val="0"/>
        <w:numPr>
          <w:numId w:val="0"/>
        </w:numPr>
        <w:kinsoku/>
        <w:wordWrap w:val="0"/>
        <w:overflowPunct/>
        <w:topLinePunct w:val="0"/>
        <w:autoSpaceDE/>
        <w:autoSpaceDN/>
        <w:bidi w:val="0"/>
        <w:adjustRightInd/>
        <w:snapToGrid/>
        <w:spacing w:line="400" w:lineRule="exact"/>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（新华财经https://finance.sina.cn/2026-04-22/detail-inhvkixy5609192.d.html?vt=4&amp;cid=76729&amp;node_id=76729）</w:t>
      </w:r>
    </w:p>
    <w:p>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jc w:val="both"/>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不管是金彭集团所在的</w:t>
      </w:r>
      <w:r>
        <w:rPr>
          <w:rFonts w:hint="default" w:ascii="Times New Roman Regular" w:hAnsi="Times New Roman Regular" w:cs="Times New Roman Regular"/>
          <w:b/>
          <w:bCs/>
          <w:sz w:val="21"/>
          <w:szCs w:val="21"/>
          <w:lang w:val="en-US" w:eastAsia="zh-CN"/>
        </w:rPr>
        <w:t>江苏徐州</w:t>
      </w:r>
      <w:r>
        <w:rPr>
          <w:rFonts w:hint="default" w:ascii="Times New Roman Regular" w:hAnsi="Times New Roman Regular" w:cs="Times New Roman Regular"/>
          <w:sz w:val="21"/>
          <w:szCs w:val="21"/>
          <w:lang w:val="en-US" w:eastAsia="zh-CN"/>
        </w:rPr>
        <w:t>及山东等基地，还是国威所在的</w:t>
      </w:r>
      <w:r>
        <w:rPr>
          <w:rFonts w:hint="default" w:ascii="Times New Roman Regular" w:hAnsi="Times New Roman Regular" w:cs="Times New Roman Regular"/>
          <w:b/>
          <w:bCs/>
          <w:sz w:val="21"/>
          <w:szCs w:val="21"/>
          <w:lang w:val="en-US" w:eastAsia="zh-CN"/>
        </w:rPr>
        <w:t>无锡锡山</w:t>
      </w:r>
      <w:r>
        <w:rPr>
          <w:rFonts w:hint="default" w:ascii="Times New Roman Regular" w:hAnsi="Times New Roman Regular" w:cs="Times New Roman Regular"/>
          <w:sz w:val="21"/>
          <w:szCs w:val="21"/>
          <w:lang w:val="en-US" w:eastAsia="zh-CN"/>
        </w:rPr>
        <w:t>，或者湖州长兴，都是电动车及智能制造产业高度集聚的区域。其中在国威的生产基地，一辆电动三轮车最快2分钟就可以组装下线，30多人一天能生产400~500辆三蹦子。也正是因为产业链的完善和技术成熟，从中国出口到全球的任何一辆三蹦子都可以灵活定制。</w:t>
      </w:r>
    </w:p>
    <w:p>
      <w:pPr>
        <w:keepNext w:val="0"/>
        <w:keepLines w:val="0"/>
        <w:pageBreakBefore w:val="0"/>
        <w:widowControl w:val="0"/>
        <w:numPr>
          <w:numId w:val="0"/>
        </w:numPr>
        <w:kinsoku/>
        <w:wordWrap w:val="0"/>
        <w:overflowPunct/>
        <w:topLinePunct w:val="0"/>
        <w:autoSpaceDE/>
        <w:autoSpaceDN/>
        <w:bidi w:val="0"/>
        <w:adjustRightInd/>
        <w:snapToGrid/>
        <w:spacing w:line="400" w:lineRule="exact"/>
        <w:ind w:leftChars="0"/>
        <w:jc w:val="both"/>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（缪琦.“三蹦子”席卷欧美：身价暴涨10倍，但面临这些“壁垒”[N].第一财经日报,2025-01-17(A07).DOI:10.28207/n.cnki.ndycj.2025.000189.）</w:t>
      </w:r>
    </w:p>
    <w:p>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jc w:val="both"/>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以</w:t>
      </w:r>
      <w:r>
        <w:rPr>
          <w:rFonts w:hint="default" w:ascii="Times New Roman Regular" w:hAnsi="Times New Roman Regular" w:cs="Times New Roman Regular"/>
          <w:b/>
          <w:bCs/>
          <w:sz w:val="21"/>
          <w:szCs w:val="21"/>
          <w:lang w:val="en-US" w:eastAsia="zh-CN"/>
        </w:rPr>
        <w:t>无锡锡山区</w:t>
      </w:r>
      <w:r>
        <w:rPr>
          <w:rFonts w:hint="default" w:ascii="Times New Roman Regular" w:hAnsi="Times New Roman Regular" w:cs="Times New Roman Regular"/>
          <w:sz w:val="21"/>
          <w:szCs w:val="21"/>
          <w:lang w:val="en-US" w:eastAsia="zh-CN"/>
        </w:rPr>
        <w:t>为缩影的中国电动车产业，出海节奏并不算快。公开数据显示，锡山区出口电动车数量仅占全区产量的3%左右。出口市场集中在印度和东盟国家，产品也以低端系为主。而且近年来，东南亚竞争对手价格和质量的竞争力亦越发强势。</w:t>
      </w:r>
    </w:p>
    <w:p>
      <w:pPr>
        <w:keepNext w:val="0"/>
        <w:keepLines w:val="0"/>
        <w:pageBreakBefore w:val="0"/>
        <w:widowControl w:val="0"/>
        <w:numPr>
          <w:numId w:val="0"/>
        </w:numPr>
        <w:kinsoku/>
        <w:wordWrap w:val="0"/>
        <w:overflowPunct/>
        <w:topLinePunct w:val="0"/>
        <w:autoSpaceDE/>
        <w:autoSpaceDN/>
        <w:bidi w:val="0"/>
        <w:adjustRightInd/>
        <w:snapToGrid/>
        <w:spacing w:line="400" w:lineRule="exact"/>
        <w:ind w:leftChars="0"/>
        <w:jc w:val="both"/>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根据海关总署公布的数据，2023年，以电动汽车、锂电池、光伏产品为代表的“新三样”产品出口，</w:t>
      </w:r>
      <w:r>
        <w:rPr>
          <w:rFonts w:hint="default" w:ascii="Times New Roman Regular" w:hAnsi="Times New Roman Regular" w:cs="Times New Roman Regular"/>
          <w:b/>
          <w:bCs/>
          <w:sz w:val="21"/>
          <w:szCs w:val="21"/>
          <w:lang w:val="en-US" w:eastAsia="zh-CN"/>
        </w:rPr>
        <w:t>浙江</w:t>
      </w:r>
      <w:r>
        <w:rPr>
          <w:rFonts w:hint="default" w:ascii="Times New Roman Regular" w:hAnsi="Times New Roman Regular" w:cs="Times New Roman Regular"/>
          <w:sz w:val="21"/>
          <w:szCs w:val="21"/>
          <w:lang w:val="en-US" w:eastAsia="zh-CN"/>
        </w:rPr>
        <w:t>高达1401.8亿元，比上年增长11.0%。</w:t>
      </w:r>
    </w:p>
    <w:p>
      <w:pPr>
        <w:keepNext w:val="0"/>
        <w:keepLines w:val="0"/>
        <w:pageBreakBefore w:val="0"/>
        <w:widowControl w:val="0"/>
        <w:numPr>
          <w:numId w:val="0"/>
        </w:numPr>
        <w:kinsoku/>
        <w:wordWrap w:val="0"/>
        <w:overflowPunct/>
        <w:topLinePunct w:val="0"/>
        <w:autoSpaceDE/>
        <w:autoSpaceDN/>
        <w:bidi w:val="0"/>
        <w:adjustRightInd/>
        <w:snapToGrid/>
        <w:spacing w:line="400" w:lineRule="exact"/>
        <w:ind w:leftChars="0"/>
        <w:jc w:val="both"/>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（潮声,谢丹颖,叶诗蕾,等.三蹦子出海，能跑多远[N].浙江日报,2024-04-08(005).DOI:10.38328/n.cnki.nzjrb.2024.001371.）</w:t>
      </w:r>
    </w:p>
    <w:p>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jc w:val="both"/>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b/>
          <w:bCs/>
          <w:sz w:val="21"/>
          <w:szCs w:val="21"/>
          <w:lang w:val="en-US" w:eastAsia="zh-CN"/>
        </w:rPr>
        <w:t>江苏丰县</w:t>
      </w:r>
      <w:r>
        <w:rPr>
          <w:rFonts w:hint="default" w:ascii="Times New Roman Regular" w:hAnsi="Times New Roman Regular" w:cs="Times New Roman Regular"/>
          <w:sz w:val="21"/>
          <w:szCs w:val="21"/>
          <w:lang w:val="en-US" w:eastAsia="zh-CN"/>
        </w:rPr>
        <w:t>是全国最大的电动三轮车生产基地，占据90%以上的配件市场份额。这波出海热，正体现了整车以及零部件从产品质量到技术创新的双重结果。</w:t>
      </w:r>
      <w:r>
        <w:rPr>
          <w:rFonts w:hint="default" w:ascii="Times New Roman Regular" w:hAnsi="Times New Roman Regular" w:cs="Times New Roman Regular"/>
          <w:b/>
          <w:bCs/>
          <w:sz w:val="21"/>
          <w:szCs w:val="21"/>
          <w:lang w:val="en-US" w:eastAsia="zh-CN"/>
        </w:rPr>
        <w:t>无锡市锡山区</w:t>
      </w:r>
      <w:r>
        <w:rPr>
          <w:rFonts w:hint="default" w:ascii="Times New Roman Regular" w:hAnsi="Times New Roman Regular" w:cs="Times New Roman Regular"/>
          <w:sz w:val="21"/>
          <w:szCs w:val="21"/>
          <w:lang w:val="en-US" w:eastAsia="zh-CN"/>
        </w:rPr>
        <w:t>50平方公里核心片区内，覆盖了全国电动车十强中的6家总部或基地，以及600余家配套企业，形成“电动车1小时产业圈”。</w:t>
      </w:r>
      <w:r>
        <w:rPr>
          <w:rFonts w:hint="default" w:ascii="Times New Roman Regular" w:hAnsi="Times New Roman Regular" w:cs="Times New Roman Regular"/>
          <w:b/>
          <w:bCs/>
          <w:sz w:val="21"/>
          <w:szCs w:val="21"/>
          <w:lang w:val="en-US" w:eastAsia="zh-CN"/>
        </w:rPr>
        <w:t>无锡</w:t>
      </w:r>
      <w:r>
        <w:rPr>
          <w:rFonts w:hint="default" w:ascii="Times New Roman Regular" w:hAnsi="Times New Roman Regular" w:cs="Times New Roman Regular"/>
          <w:sz w:val="21"/>
          <w:szCs w:val="21"/>
          <w:lang w:val="en-US" w:eastAsia="zh-CN"/>
        </w:rPr>
        <w:t>海关数据显示，电动车出口已经连续9年保持增长态势，出口规模翻了两番多，2025年出口增速较全国同类商品快14个百分点。</w:t>
      </w:r>
    </w:p>
    <w:p>
      <w:pPr>
        <w:keepNext w:val="0"/>
        <w:keepLines w:val="0"/>
        <w:pageBreakBefore w:val="0"/>
        <w:widowControl w:val="0"/>
        <w:numPr>
          <w:numId w:val="0"/>
        </w:numPr>
        <w:kinsoku/>
        <w:wordWrap w:val="0"/>
        <w:overflowPunct/>
        <w:topLinePunct w:val="0"/>
        <w:autoSpaceDE/>
        <w:autoSpaceDN/>
        <w:bidi w:val="0"/>
        <w:adjustRightInd/>
        <w:snapToGrid/>
        <w:spacing w:line="400" w:lineRule="exact"/>
        <w:ind w:leftChars="0"/>
        <w:jc w:val="both"/>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（新华网https://mp.weixin.qq.com/s?__biz=MzA4MjQxNjQzMA==&amp;mid=2769061932&amp;idx=1&amp;sn=5a5bc42d9f85ab896d221cf83a166867&amp;chksm=beb59270102a4d297a720ec81684713fce1c43b6aaed65c4fb4b8c40425883e6a06d4e4b1142&amp;scene=27）</w:t>
      </w:r>
    </w:p>
    <w:p>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jc w:val="both"/>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“世界电动车看中国，中国电动车看江苏，江苏电动车看锡山。”这句行业内的共识，道出了江苏</w:t>
      </w:r>
      <w:r>
        <w:rPr>
          <w:rFonts w:hint="default" w:ascii="Times New Roman Regular" w:hAnsi="Times New Roman Regular" w:cs="Times New Roman Regular"/>
          <w:b/>
          <w:bCs/>
          <w:sz w:val="21"/>
          <w:szCs w:val="21"/>
          <w:lang w:val="en-US" w:eastAsia="zh-CN"/>
        </w:rPr>
        <w:t>无锡市锡山区</w:t>
      </w:r>
      <w:r>
        <w:rPr>
          <w:rFonts w:hint="default" w:ascii="Times New Roman Regular" w:hAnsi="Times New Roman Regular" w:cs="Times New Roman Regular"/>
          <w:sz w:val="21"/>
          <w:szCs w:val="21"/>
          <w:lang w:val="en-US" w:eastAsia="zh-CN"/>
        </w:rPr>
        <w:t>在电动车领域的核心地位。因拥有众多(二轮、三轮)电动车企业及完备的产业配套，无锡锡山被誉为“中国电动车之乡”。当地年产电动车超1500万辆，产业规模突破660亿元，约占中国市场的三分之一。全国十强电动车企业中，有6家在此驻扎。数据显示，去年平均每1分钟就有2.4辆电动车从无锡走向世界。“锡山的底气，本质是产业基础、政策创新、全球资源三者结合的系统能力。”江苏省社会科学院社会政策所所长、研究员张春龙接受中新社国是直通车采访时表示，这三大独特优势使锡山成为全国电动车产业的技术高地和供应链枢纽。其一，锡山构建了覆盖全产业链的垂直生态，本地配套率超90%，形成高效协同的产业集群；其二，技术创新与标准引领优势。锡山企业年均研发投入占比达5.8%，锡山主导制定《电动两轮车品类出海指南》等12项行业标准，在电机、电池等核心领域形成技术壁垒；其三，全球化布局的战略先手优势。锡山建立起“跨境电商+海外仓”的双轮驱动模式，形成“研发在中国、制造在全球”的产业格局。上海社科院研究员、南通大学长三角现代化研究院院长何建华认为，锡山凭借敏锐的市场嗅觉率先布局，形成先发优势。此外，通过长期积累构建的包含人才、技术、供应链的完整产业生态，形成了后发者难以复制的系统性竞争力。数据显示，2024年无锡锡山有246家电动车出口企业(包括零部件出口企业)，全年完成出口6亿美元，同比增长40.9%，其中，整车出口126.4万辆，同比增长68.8%。据中共无锡市锡山区委副书记、副区长程哲介绍，目前，锡山电动车企业已出口至东南亚、南美、东欧、北美等130多个国家和地区。在海外投资建设20多个生产基地、在全球40多个国家设有2000多家海外销售门店。</w:t>
      </w:r>
    </w:p>
    <w:p>
      <w:pPr>
        <w:keepNext w:val="0"/>
        <w:keepLines w:val="0"/>
        <w:pageBreakBefore w:val="0"/>
        <w:widowControl w:val="0"/>
        <w:numPr>
          <w:numId w:val="0"/>
        </w:numPr>
        <w:kinsoku/>
        <w:wordWrap w:val="0"/>
        <w:overflowPunct/>
        <w:topLinePunct w:val="0"/>
        <w:autoSpaceDE/>
        <w:autoSpaceDN/>
        <w:bidi w:val="0"/>
        <w:adjustRightInd/>
        <w:snapToGrid/>
        <w:spacing w:line="400" w:lineRule="exact"/>
        <w:ind w:leftChars="0"/>
        <w:jc w:val="both"/>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（中国新闻网https://news.ifeng.com/c/8j6W3CTYxBW?ch=ttsearch）</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7D743E"/>
    <w:multiLevelType w:val="singleLevel"/>
    <w:tmpl w:val="FD7D743E"/>
    <w:lvl w:ilvl="0" w:tentative="0">
      <w:start w:val="1"/>
      <w:numFmt w:val="decimal"/>
      <w:suff w:val="space"/>
      <w:lvlText w:val="%1."/>
      <w:lvlJc w:val="left"/>
    </w:lvl>
  </w:abstractNum>
  <w:abstractNum w:abstractNumId="1">
    <w:nsid w:val="3FF339D6"/>
    <w:multiLevelType w:val="singleLevel"/>
    <w:tmpl w:val="3FF339D6"/>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7F4C3D"/>
    <w:rsid w:val="69BC6435"/>
    <w:rsid w:val="6B9BBDDA"/>
    <w:rsid w:val="777F4C3D"/>
    <w:rsid w:val="FDFF8D84"/>
    <w:rsid w:val="FFEF80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48</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2026-07-13T17:23:00Z</dcterms:created>
  <dc:creator>一子不落虚_</dc:creator>
  <cp:lastModifiedBy>一子不落虚_</cp:lastModifiedBy>
  <dcterms:modified xsi:type="dcterms:W3CDTF">2026-07-15T20:28:58Z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2557A6854340CC5786AE546AA238982C_41</vt:lpwstr>
  </property>
</Properties>
</file>