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00D0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/>
          <w:color w:val="auto"/>
          <w:sz w:val="18"/>
          <w:szCs w:val="16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/>
          <w:color w:val="auto"/>
          <w:sz w:val="24"/>
        </w:rPr>
        <w:t>产业链重写</w:t>
      </w:r>
      <w:r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val="en-US" w:eastAsia="zh-CN"/>
        </w:rPr>
        <w:t>不</w:t>
      </w:r>
      <w:r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eastAsia="zh-CN"/>
        </w:rPr>
        <w:t>把丰县、锡山、天津、浙江与广东放在同一层级并列排名。）</w:t>
      </w:r>
    </w:p>
    <w:p w14:paraId="479B88A7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/>
          <w:color w:val="auto"/>
          <w:sz w:val="24"/>
        </w:rPr>
        <w:t>海外特性改题</w:t>
      </w:r>
    </w:p>
    <w:p w14:paraId="034CD2A9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eastAsia="zh-CN"/>
        </w:rPr>
        <w:t>（十年用于观察品牌化、本地化转向；2020—2025用于全国数据比较，2026年第一季度作为最新新闻钩子）</w:t>
      </w:r>
    </w:p>
    <w:p w14:paraId="226D9749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/>
          <w:color w:val="auto"/>
          <w:sz w:val="24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  <w:color w:val="auto"/>
          <w:sz w:val="24"/>
        </w:rPr>
        <w:t>十年转向</w:t>
      </w:r>
      <w:r>
        <w:rPr>
          <w:rFonts w:hint="eastAsia" w:ascii="宋体" w:hAnsi="宋体" w:eastAsia="宋体" w:cs="宋体"/>
          <w:b w:val="0"/>
          <w:bCs/>
          <w:color w:val="auto"/>
          <w:sz w:val="24"/>
          <w:lang w:val="en-US" w:eastAsia="zh-CN"/>
        </w:rPr>
        <w:t>+</w:t>
      </w:r>
      <w:r>
        <w:rPr>
          <w:rFonts w:hint="eastAsia" w:ascii="宋体" w:hAnsi="宋体" w:eastAsia="宋体" w:cs="宋体"/>
          <w:b w:val="0"/>
          <w:bCs/>
          <w:color w:val="auto"/>
          <w:sz w:val="24"/>
        </w:rPr>
        <w:t>六年数据</w:t>
      </w:r>
      <w:r>
        <w:rPr>
          <w:rFonts w:hint="eastAsia" w:ascii="宋体" w:hAnsi="宋体" w:eastAsia="宋体" w:cs="宋体"/>
          <w:b w:val="0"/>
          <w:bCs/>
          <w:color w:val="auto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color w:val="auto"/>
          <w:sz w:val="24"/>
        </w:rPr>
        <w:t>导语</w:t>
      </w:r>
    </w:p>
    <w:p w14:paraId="4ADB61CA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4"/>
          <w:lang w:val="en-US" w:eastAsia="zh-CN"/>
        </w:rPr>
        <w:t>4、</w:t>
      </w:r>
      <w:r>
        <w:rPr>
          <w:rFonts w:hint="eastAsia" w:ascii="宋体" w:hAnsi="宋体" w:eastAsia="宋体" w:cs="宋体"/>
          <w:b w:val="0"/>
          <w:bCs/>
          <w:color w:val="auto"/>
          <w:sz w:val="24"/>
        </w:rPr>
        <w:t>全文主线递进</w:t>
      </w:r>
      <w:r>
        <w:rPr>
          <w:rFonts w:hint="eastAsia" w:ascii="宋体" w:hAnsi="宋体" w:eastAsia="宋体" w:cs="宋体"/>
          <w:b w:val="0"/>
          <w:bCs/>
          <w:color w:val="auto"/>
          <w:sz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18"/>
          <w:szCs w:val="16"/>
          <w:lang w:eastAsia="zh-CN"/>
        </w:rPr>
        <w:t>去哪里—为何出去—如何增值—怎样进去—最终获得什么）</w:t>
      </w:r>
    </w:p>
    <w:p w14:paraId="7A853406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br w:type="page"/>
      </w:r>
    </w:p>
    <w:p w14:paraId="0FE83621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</w:p>
    <w:p w14:paraId="0C92776A">
      <w:pPr>
        <w:pStyle w:val="4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以下为修改部分：</w:t>
      </w:r>
    </w:p>
    <w:p w14:paraId="3965FAB8">
      <w:pPr>
        <w:pStyle w:val="4"/>
        <w:numPr>
          <w:ilvl w:val="0"/>
          <w:numId w:val="7"/>
        </w:numP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标题</w:t>
      </w:r>
    </w:p>
    <w:p w14:paraId="55BE3690">
      <w:pP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此处或许可以保持不变？</w:t>
      </w:r>
    </w:p>
    <w:p w14:paraId="2014D74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68365" cy="3766820"/>
            <wp:effectExtent l="0" t="0" r="635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6838">
      <w:pPr>
        <w:spacing w:after="4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在每个章节的蓝色框这一部分进行添加？</w:t>
      </w:r>
    </w:p>
    <w:p w14:paraId="27AFEC16">
      <w:pPr>
        <w:spacing w:after="4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或者标题直接怎么改比较好呢</w:t>
      </w:r>
    </w:p>
    <w:p w14:paraId="4C9523C3">
      <w:pPr>
        <w:spacing w:after="4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（标题部分让主线逻辑更清楚一些）</w:t>
      </w:r>
    </w:p>
    <w:p w14:paraId="5A9B0096">
      <w:pPr>
        <w:spacing w:after="4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74080" cy="2475865"/>
            <wp:effectExtent l="0" t="0" r="20320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854A">
      <w:pPr>
        <w:spacing w:after="4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01 它驶向哪里：从六年出口曲线到全球市场分层</w:t>
      </w:r>
    </w:p>
    <w:p w14:paraId="5A7C6B26">
      <w:pPr>
        <w:spacing w:after="4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02 它为何能驶出去：政策、产业链与需求如何咬合</w:t>
      </w:r>
    </w:p>
    <w:p w14:paraId="6F046F28">
      <w:pPr>
        <w:spacing w:after="4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03 它如何变得更值钱：电池、智能与品牌升级</w:t>
      </w:r>
    </w:p>
    <w:p w14:paraId="14900472">
      <w:pPr>
        <w:spacing w:after="4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04 它如何进入当地生活：法规、认证、售后与竞争</w:t>
      </w:r>
    </w:p>
    <w:p w14:paraId="600C96C1">
      <w:pPr>
        <w:spacing w:after="4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05 它最终要获得什么：被命名、被维修、被信任</w:t>
      </w:r>
    </w:p>
    <w:p w14:paraId="4E7B5575">
      <w:pPr>
        <w:pStyle w:val="4"/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t>过渡句</w:t>
      </w:r>
    </w:p>
    <w:p w14:paraId="2047B3C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74715" cy="3374390"/>
            <wp:effectExtent l="0" t="0" r="1968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B0F0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地图回答了它去了哪里，却不能解释它为什么能持续出发。下一站，</w:t>
      </w:r>
      <w: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  <w:t>我们将</w:t>
      </w:r>
      <w:r>
        <w:rPr>
          <w:rFonts w:hint="eastAsia" w:ascii="宋体" w:hAnsi="宋体" w:eastAsia="宋体" w:cs="宋体"/>
          <w:b w:val="0"/>
          <w:bCs/>
          <w:color w:val="auto"/>
          <w:sz w:val="20"/>
        </w:rPr>
        <w:t>镜头从海外街道拉回中国工厂。</w:t>
      </w:r>
    </w:p>
    <w:p w14:paraId="27FC46C5">
      <w:pPr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76620" cy="3592195"/>
            <wp:effectExtent l="0" t="0" r="17780" b="146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A0F7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产业链让一辆车造得快、配得齐，却不自动等于价值提升。真正拉开差距的，是电池、智能系统与品牌能力。</w:t>
      </w:r>
    </w:p>
    <w:p w14:paraId="6434A1E1">
      <w:pPr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66460" cy="3544570"/>
            <wp:effectExtent l="0" t="0" r="254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B853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技术和品牌抬高了单车价值，但走出海关并不等于进入市场。它还要在当地法规、道路与售后体系中重新获得身份。</w:t>
      </w:r>
    </w:p>
    <w:p w14:paraId="2E6FEBEC">
      <w:pPr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69000" cy="3455035"/>
            <wp:effectExtent l="0" t="0" r="0" b="2476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5848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走出海关只是出口，进入当地生活才是出海。</w:t>
      </w:r>
    </w:p>
    <w:p w14:paraId="4D2D1542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br w:type="page"/>
      </w:r>
    </w:p>
    <w:p w14:paraId="460ADFB2">
      <w:pPr>
        <w:pStyle w:val="4"/>
        <w:numPr>
          <w:ilvl w:val="0"/>
          <w:numId w:val="8"/>
        </w:num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t>“出海十年”的定义句</w:t>
      </w: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+封面导语</w:t>
      </w:r>
    </w:p>
    <w:p w14:paraId="3AE5690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74080" cy="3164205"/>
            <wp:effectExtent l="0" t="0" r="20320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07A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u w:val="singl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  <w:u w:val="single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0"/>
          <w:u w:val="single"/>
        </w:rPr>
        <w:t>以2016年前后头部品牌进入欧美市场、开始系统进行产品本地化为观察起点。十年间，出海的含义从“把车卖出去”，逐渐扩展为改产品、建渠道、布服务与立品牌。</w:t>
      </w:r>
      <w:r>
        <w:rPr>
          <w:rFonts w:hint="eastAsia" w:ascii="宋体" w:hAnsi="宋体" w:eastAsia="宋体" w:cs="宋体"/>
          <w:b w:val="0"/>
          <w:bCs/>
          <w:color w:val="auto"/>
          <w:sz w:val="20"/>
          <w:u w:val="single"/>
          <w:lang w:eastAsia="zh-CN"/>
        </w:rPr>
        <w:t>）</w:t>
      </w:r>
    </w:p>
    <w:p w14:paraId="1EA7C63C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</w:rPr>
      </w:pPr>
    </w:p>
    <w:p w14:paraId="5E9D250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highlight w:val="none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 w:val="0"/>
          <w:bCs/>
          <w:color w:val="auto"/>
          <w:sz w:val="20"/>
          <w:highlight w:val="none"/>
          <w:lang w:val="en-US" w:eastAsia="zh-CN"/>
        </w:rPr>
        <w:t>整段替换：</w:t>
      </w:r>
    </w:p>
    <w:bookmarkEnd w:id="0"/>
    <w:p w14:paraId="29D99DA1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highlight w:val="yellow"/>
          <w:lang w:val="en-US" w:eastAsia="zh-CN"/>
        </w:rPr>
      </w:pPr>
    </w:p>
    <w:p w14:paraId="3F6A2BC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  <w:t>2016年，小牛电动进入欧洲市场，首款产品为适应德国标准与用户习惯完成72项本地化改进。十年后，中国“小电驴”的出海曲线再次陡峭起来。按海关HS 871160宽口径，2020—2025六个完整年度间，我国“电动摩托车及脚踏车”出口量从1794万辆增至2674万辆，增长49.1%；出口额从35.05亿美元增至68.29亿美元，增长94.8%。2026年第一季度，行业披露的电动两轮车出口量约720万辆，同比增长68.2%；据此倒推，2025年同期约428万辆。</w:t>
      </w:r>
    </w:p>
    <w:p w14:paraId="53EF805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</w:pPr>
      <w:commentRangeStart w:id="0"/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048250" cy="2505075"/>
            <wp:effectExtent l="0" t="0" r="6350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Fonts w:hint="eastAsia" w:ascii="宋体" w:hAnsi="宋体" w:eastAsia="宋体" w:cs="宋体"/>
          <w:b w:val="0"/>
          <w:bCs/>
          <w:color w:val="auto"/>
        </w:rPr>
        <w:commentReference w:id="0"/>
      </w:r>
    </w:p>
    <w:p w14:paraId="5404F686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</w:pPr>
    </w:p>
    <w:p w14:paraId="6722F05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  <w:t>数字的变化只是开端。一辆从中国港口出发的小电驴，在海关表里叫HS 871160，在出口仓库里可能被拆成CKD/SKD散件，到了雅加达、阿姆斯特丹或圣保罗，又要按当地法规和生活需求重新定义。过去十年，中国电动车出海真正变化的，不只是“卖了多少”，而是如何依靠一条从核心零部件、整车制造到跨境渠道和本地服务的产业链，把同一辆车翻译成不同市场的答案。</w:t>
      </w:r>
    </w:p>
    <w:p w14:paraId="133E7096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</w:pPr>
    </w:p>
    <w:p w14:paraId="585F85F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  <w:t>它为何在2026年再次加速？这条产业链如何让它驶出去，又如何让它真正驶进去？</w:t>
      </w:r>
    </w:p>
    <w:p w14:paraId="1E3CB854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</w:p>
    <w:p w14:paraId="37C4F8B7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</w:p>
    <w:p w14:paraId="3123FC2B">
      <w:pPr>
        <w:pStyle w:val="4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4、此处数据更新选用</w:t>
      </w:r>
    </w:p>
    <w:p w14:paraId="18B243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67730" cy="1136650"/>
            <wp:effectExtent l="0" t="0" r="127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F48BC18">
        <w:trPr>
          <w:tblHeader/>
          <w:jc w:val="center"/>
        </w:trPr>
        <w:tc>
          <w:tcPr>
            <w:tcW w:w="2353" w:type="dxa"/>
            <w:shd w:val="clear" w:color="auto" w:fill="17324D"/>
          </w:tcPr>
          <w:p w14:paraId="05F8C4E8">
            <w:pPr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</w:rPr>
              <w:t>时间</w:t>
            </w:r>
          </w:p>
        </w:tc>
        <w:tc>
          <w:tcPr>
            <w:tcW w:w="2353" w:type="dxa"/>
            <w:shd w:val="clear" w:color="auto" w:fill="17324D"/>
          </w:tcPr>
          <w:p w14:paraId="3CA9102A">
            <w:pPr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</w:rPr>
              <w:t>出口量</w:t>
            </w:r>
          </w:p>
        </w:tc>
        <w:tc>
          <w:tcPr>
            <w:tcW w:w="2353" w:type="dxa"/>
            <w:shd w:val="clear" w:color="auto" w:fill="17324D"/>
          </w:tcPr>
          <w:p w14:paraId="35AA8BE6">
            <w:pPr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</w:rPr>
              <w:t>比较结果</w:t>
            </w:r>
          </w:p>
        </w:tc>
        <w:tc>
          <w:tcPr>
            <w:tcW w:w="2353" w:type="dxa"/>
            <w:shd w:val="clear" w:color="auto" w:fill="17324D"/>
          </w:tcPr>
          <w:p w14:paraId="5EA72F72">
            <w:pPr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</w:rPr>
              <w:t>口径说明</w:t>
            </w:r>
          </w:p>
        </w:tc>
      </w:tr>
      <w:tr w14:paraId="6E5A7342">
        <w:trPr>
          <w:jc w:val="center"/>
        </w:trPr>
        <w:tc>
          <w:tcPr>
            <w:tcW w:w="2353" w:type="dxa"/>
          </w:tcPr>
          <w:p w14:paraId="3A8AE1DC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2020年</w:t>
            </w:r>
          </w:p>
        </w:tc>
        <w:tc>
          <w:tcPr>
            <w:tcW w:w="2353" w:type="dxa"/>
          </w:tcPr>
          <w:p w14:paraId="7365FF1A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1794万辆</w:t>
            </w:r>
          </w:p>
        </w:tc>
        <w:tc>
          <w:tcPr>
            <w:tcW w:w="2353" w:type="dxa"/>
          </w:tcPr>
          <w:p w14:paraId="15216C32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六年数据起点</w:t>
            </w:r>
          </w:p>
        </w:tc>
        <w:tc>
          <w:tcPr>
            <w:tcW w:w="2353" w:type="dxa"/>
          </w:tcPr>
          <w:p w14:paraId="0F056062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海关HS 871160宽口径</w:t>
            </w:r>
          </w:p>
        </w:tc>
      </w:tr>
      <w:tr w14:paraId="531AEFEF">
        <w:trPr>
          <w:jc w:val="center"/>
        </w:trPr>
        <w:tc>
          <w:tcPr>
            <w:tcW w:w="2353" w:type="dxa"/>
          </w:tcPr>
          <w:p w14:paraId="099CB452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2025年</w:t>
            </w:r>
          </w:p>
        </w:tc>
        <w:tc>
          <w:tcPr>
            <w:tcW w:w="2353" w:type="dxa"/>
          </w:tcPr>
          <w:p w14:paraId="2D629A1E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2674万辆</w:t>
            </w:r>
          </w:p>
        </w:tc>
        <w:tc>
          <w:tcPr>
            <w:tcW w:w="2353" w:type="dxa"/>
          </w:tcPr>
          <w:p w14:paraId="03BB315E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较2020年增长49.1%</w:t>
            </w:r>
          </w:p>
        </w:tc>
        <w:tc>
          <w:tcPr>
            <w:tcW w:w="2353" w:type="dxa"/>
          </w:tcPr>
          <w:p w14:paraId="78476E68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六个完整年度的末值</w:t>
            </w:r>
          </w:p>
        </w:tc>
      </w:tr>
      <w:tr w14:paraId="277FB0A5">
        <w:trPr>
          <w:jc w:val="center"/>
        </w:trPr>
        <w:tc>
          <w:tcPr>
            <w:tcW w:w="2353" w:type="dxa"/>
          </w:tcPr>
          <w:p w14:paraId="1AD53DFB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2025年一季度</w:t>
            </w:r>
          </w:p>
        </w:tc>
        <w:tc>
          <w:tcPr>
            <w:tcW w:w="2353" w:type="dxa"/>
          </w:tcPr>
          <w:p w14:paraId="78FA8DA5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约428万辆</w:t>
            </w:r>
          </w:p>
        </w:tc>
        <w:tc>
          <w:tcPr>
            <w:tcW w:w="2353" w:type="dxa"/>
          </w:tcPr>
          <w:p w14:paraId="3C6B3B5C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由720÷1.682倒推</w:t>
            </w:r>
          </w:p>
        </w:tc>
        <w:tc>
          <w:tcPr>
            <w:tcW w:w="2353" w:type="dxa"/>
          </w:tcPr>
          <w:p w14:paraId="4D254C60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必须标“倒推值”</w:t>
            </w:r>
          </w:p>
        </w:tc>
      </w:tr>
      <w:tr w14:paraId="101EFCD5">
        <w:trPr>
          <w:jc w:val="center"/>
        </w:trPr>
        <w:tc>
          <w:tcPr>
            <w:tcW w:w="2353" w:type="dxa"/>
          </w:tcPr>
          <w:p w14:paraId="693B51C6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2026年一季度</w:t>
            </w:r>
          </w:p>
        </w:tc>
        <w:tc>
          <w:tcPr>
            <w:tcW w:w="2353" w:type="dxa"/>
          </w:tcPr>
          <w:p w14:paraId="44865A8F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约720万辆</w:t>
            </w:r>
          </w:p>
        </w:tc>
        <w:tc>
          <w:tcPr>
            <w:tcW w:w="2353" w:type="dxa"/>
          </w:tcPr>
          <w:p w14:paraId="54EC99CD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同比增长68.2%</w:t>
            </w:r>
          </w:p>
        </w:tc>
        <w:tc>
          <w:tcPr>
            <w:tcW w:w="2353" w:type="dxa"/>
          </w:tcPr>
          <w:p w14:paraId="395846D7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行业披露，媒体援引</w:t>
            </w:r>
          </w:p>
        </w:tc>
      </w:tr>
      <w:tr w14:paraId="6B739FDA">
        <w:trPr>
          <w:jc w:val="center"/>
        </w:trPr>
        <w:tc>
          <w:tcPr>
            <w:tcW w:w="2353" w:type="dxa"/>
          </w:tcPr>
          <w:p w14:paraId="00801AF5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徐州 2026年1—4月</w:t>
            </w:r>
          </w:p>
        </w:tc>
        <w:tc>
          <w:tcPr>
            <w:tcW w:w="2353" w:type="dxa"/>
          </w:tcPr>
          <w:p w14:paraId="2D54E8A2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电动三轮车出口额1.68亿元</w:t>
            </w:r>
          </w:p>
        </w:tc>
        <w:tc>
          <w:tcPr>
            <w:tcW w:w="2353" w:type="dxa"/>
          </w:tcPr>
          <w:p w14:paraId="2FD4A83A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同比增长87.2%</w:t>
            </w:r>
          </w:p>
        </w:tc>
        <w:tc>
          <w:tcPr>
            <w:tcW w:w="2353" w:type="dxa"/>
          </w:tcPr>
          <w:p w14:paraId="6D4D1CA6">
            <w:pPr>
              <w:spacing w:after="0"/>
              <w:rPr>
                <w:rFonts w:hint="eastAsia" w:ascii="宋体" w:hAnsi="宋体" w:eastAsia="宋体" w:cs="宋体"/>
                <w:b w:val="0"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7"/>
              </w:rPr>
              <w:t>区域案例，不替代全国总量</w:t>
            </w:r>
          </w:p>
        </w:tc>
      </w:tr>
    </w:tbl>
    <w:p w14:paraId="70C65CA6">
      <w:pPr>
        <w:rPr>
          <w:rFonts w:hint="eastAsia" w:ascii="宋体" w:hAnsi="宋体" w:eastAsia="宋体" w:cs="宋体"/>
          <w:b w:val="0"/>
          <w:bCs/>
          <w:color w:val="auto"/>
        </w:rPr>
      </w:pPr>
    </w:p>
    <w:p w14:paraId="60F40A0F">
      <w:pPr>
        <w:pStyle w:val="4"/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5、产业链总解释</w:t>
      </w:r>
    </w:p>
    <w:p w14:paraId="430B5752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70905" cy="3053715"/>
            <wp:effectExtent l="0" t="0" r="23495" b="196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7915">
      <w:pPr>
        <w:spacing w:after="0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所谓产业链，不是把若干产地并列摆放，而是把一辆车从零部件到海外落地的协作关系拆开看：上游是电池、电机、控制器等核心部件；中游是整车制造、CKD/SKD拆装与柔性定制；下游是外贸平台、港口物流、海外仓、本地组装和售后网络。本文不对丰县、锡山、天津、浙江与广东作同层级排名，只是选取四类代表性节点，观察这条链如何运转。</w:t>
      </w:r>
    </w:p>
    <w:p w14:paraId="795D4307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74715" cy="3853815"/>
            <wp:effectExtent l="0" t="0" r="1968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F4FD">
      <w:pPr>
        <w:spacing w:after="4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t>产业链节点：同层级对照与区域案例</w:t>
      </w:r>
    </w:p>
    <w:p w14:paraId="0F74B0B1">
      <w:pPr>
        <w:spacing w:after="40"/>
        <w:rPr>
          <w:rFonts w:hint="eastAsia" w:ascii="宋体" w:hAnsi="宋体" w:eastAsia="宋体" w:cs="宋体"/>
          <w:b w:val="0"/>
          <w:bCs/>
          <w:color w:val="auto"/>
          <w:sz w:val="18"/>
          <w:szCs w:val="20"/>
          <w:u w:val="singl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18"/>
          <w:szCs w:val="20"/>
          <w:u w:val="single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18"/>
          <w:szCs w:val="20"/>
          <w:u w:val="single"/>
          <w:lang w:val="en-US" w:eastAsia="zh-CN"/>
        </w:rPr>
        <w:t>集群容易被理解为同层级的产业带排名</w:t>
      </w:r>
      <w:r>
        <w:rPr>
          <w:rFonts w:hint="eastAsia" w:ascii="宋体" w:hAnsi="宋体" w:eastAsia="宋体" w:cs="宋体"/>
          <w:b w:val="0"/>
          <w:bCs/>
          <w:color w:val="auto"/>
          <w:sz w:val="18"/>
          <w:szCs w:val="20"/>
          <w:u w:val="single"/>
          <w:lang w:eastAsia="zh-CN"/>
        </w:rPr>
        <w:t>）</w:t>
      </w:r>
    </w:p>
    <w:p w14:paraId="0A8DC94D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</w:p>
    <w:p w14:paraId="43C5AB89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</w:p>
    <w:p w14:paraId="4E317D65">
      <w:pPr>
        <w:spacing w:after="0"/>
        <w:rPr>
          <w:rFonts w:hint="eastAsia" w:ascii="宋体" w:hAnsi="宋体" w:eastAsia="宋体" w:cs="宋体"/>
          <w:b w:val="0"/>
          <w:bCs/>
          <w:color w:val="auto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highlight w:val="yellow"/>
          <w:lang w:val="en-US" w:eastAsia="zh-CN"/>
        </w:rPr>
        <w:t>同时新找的数据可以做以下分析图表添加：</w:t>
      </w:r>
    </w:p>
    <w:p w14:paraId="7FB74C5E">
      <w:pPr>
        <w:spacing w:after="0"/>
        <w:rPr>
          <w:rFonts w:hint="eastAsia" w:ascii="宋体" w:hAnsi="宋体" w:eastAsia="宋体" w:cs="宋体"/>
          <w:b w:val="0"/>
          <w:bCs/>
          <w:color w:val="auto"/>
          <w:sz w:val="18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1、国家层面：</w:t>
      </w:r>
      <w:r>
        <w:rPr>
          <w:rFonts w:hint="eastAsia" w:ascii="宋体" w:hAnsi="宋体" w:eastAsia="宋体" w:cs="宋体"/>
          <w:b w:val="0"/>
          <w:bCs/>
          <w:color w:val="auto"/>
          <w:sz w:val="18"/>
        </w:rPr>
        <w:t>2020—2025年度出口量值；2026年一季度最新增速</w:t>
      </w:r>
    </w:p>
    <w:p w14:paraId="42851644">
      <w:pPr>
        <w:spacing w:after="0"/>
        <w:rPr>
          <w:rFonts w:hint="eastAsia" w:ascii="宋体" w:hAnsi="宋体" w:eastAsia="宋体" w:cs="宋体"/>
          <w:b w:val="0"/>
          <w:bCs/>
          <w:color w:val="auto"/>
          <w:sz w:val="18"/>
        </w:rPr>
      </w:pPr>
      <w:r>
        <w:rPr>
          <w:rFonts w:hint="eastAsia" w:ascii="宋体" w:hAnsi="宋体" w:eastAsia="宋体" w:cs="宋体"/>
          <w:b w:val="0"/>
          <w:bCs/>
          <w:color w:val="auto"/>
          <w:sz w:val="18"/>
        </w:rPr>
        <w:t>呈现产业链整体出口能力</w:t>
      </w:r>
    </w:p>
    <w:p w14:paraId="4425EED8">
      <w:pPr>
        <w:spacing w:after="0"/>
        <w:rPr>
          <w:rFonts w:hint="eastAsia" w:ascii="宋体" w:hAnsi="宋体" w:eastAsia="宋体" w:cs="宋体"/>
          <w:b w:val="0"/>
          <w:bCs/>
          <w:color w:val="auto"/>
          <w:sz w:val="18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2、市级对照：</w:t>
      </w:r>
      <w:r>
        <w:rPr>
          <w:rFonts w:hint="eastAsia" w:ascii="宋体" w:hAnsi="宋体" w:eastAsia="宋体" w:cs="宋体"/>
          <w:b w:val="0"/>
          <w:bCs/>
          <w:color w:val="auto"/>
          <w:sz w:val="18"/>
        </w:rPr>
        <w:t>天津市 vs 无锡市</w:t>
      </w:r>
    </w:p>
    <w:p w14:paraId="1EA5BE18">
      <w:pPr>
        <w:spacing w:after="0"/>
        <w:rPr>
          <w:rFonts w:hint="eastAsia" w:ascii="宋体" w:hAnsi="宋体" w:eastAsia="宋体" w:cs="宋体"/>
          <w:b w:val="0"/>
          <w:bCs/>
          <w:color w:val="auto"/>
          <w:sz w:val="18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3、省级对照：</w:t>
      </w:r>
      <w:r>
        <w:rPr>
          <w:rFonts w:hint="eastAsia" w:ascii="宋体" w:hAnsi="宋体" w:eastAsia="宋体" w:cs="宋体"/>
          <w:b w:val="0"/>
          <w:bCs/>
          <w:color w:val="auto"/>
          <w:sz w:val="18"/>
        </w:rPr>
        <w:t>浙江省 vs 江苏省</w:t>
      </w:r>
    </w:p>
    <w:p w14:paraId="2E20A84C">
      <w:pPr>
        <w:spacing w:after="0"/>
        <w:rPr>
          <w:rFonts w:hint="eastAsia" w:ascii="宋体" w:hAnsi="宋体" w:eastAsia="宋体" w:cs="宋体"/>
          <w:b w:val="0"/>
          <w:bCs/>
          <w:color w:val="auto"/>
          <w:sz w:val="18"/>
        </w:rPr>
      </w:pPr>
      <w:r>
        <w:rPr>
          <w:rFonts w:hint="eastAsia" w:ascii="宋体" w:hAnsi="宋体" w:eastAsia="宋体" w:cs="宋体"/>
          <w:b w:val="0"/>
          <w:bCs/>
          <w:color w:val="auto"/>
          <w:sz w:val="18"/>
        </w:rPr>
        <w:t>比较整车、锂电、外贸与跨境渠道基础</w:t>
      </w:r>
    </w:p>
    <w:p w14:paraId="4FF1EF92">
      <w:pPr>
        <w:spacing w:after="0"/>
        <w:rPr>
          <w:rFonts w:hint="eastAsia" w:ascii="宋体" w:hAnsi="宋体" w:eastAsia="宋体" w:cs="宋体"/>
          <w:b w:val="0"/>
          <w:bCs/>
          <w:color w:val="auto"/>
          <w:sz w:val="18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4、机制案例：</w:t>
      </w:r>
      <w:r>
        <w:rPr>
          <w:rFonts w:hint="eastAsia" w:ascii="宋体" w:hAnsi="宋体" w:eastAsia="宋体" w:cs="宋体"/>
          <w:b w:val="0"/>
          <w:bCs/>
          <w:color w:val="auto"/>
          <w:sz w:val="18"/>
        </w:rPr>
        <w:t>徐州丰县、无锡锡山</w:t>
      </w:r>
    </w:p>
    <w:p w14:paraId="03FF9687">
      <w:pPr>
        <w:spacing w:after="0"/>
        <w:rPr>
          <w:rFonts w:hint="eastAsia" w:ascii="宋体" w:hAnsi="宋体" w:eastAsia="宋体" w:cs="宋体"/>
          <w:b w:val="0"/>
          <w:bCs/>
          <w:color w:val="auto"/>
          <w:sz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18"/>
        </w:rPr>
        <w:t>解释“半小时配套”“一小时产业圈”、柔性定制和出口组织，不作规模排名</w:t>
      </w:r>
    </w:p>
    <w:p w14:paraId="662751F1">
      <w:pPr>
        <w:pStyle w:val="4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t>天津与无锡同层级对照段</w:t>
      </w:r>
    </w:p>
    <w:p w14:paraId="4B45166A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在市级层面，天津与无锡可以构成两个不同路径的对照。2024年，天津电动自行车出口269.2万辆、出口额41.92亿元，同比分别增长112.76%和72.12%，体现北方自行车制造基础与港口通道的共同作用；同年，无锡电动自行车和摩托车出口金额近33亿元，同比增长46.6%，其优势更多来自整车龙头、零部件配套与外贸平台的协同。两座城市分别代表“制造基础+港口通道”与“整车总部+配套网络”的产业链组织方式。</w:t>
      </w:r>
    </w:p>
    <w:p w14:paraId="58301623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br w:type="page"/>
      </w:r>
    </w:p>
    <w:p w14:paraId="08ADA56D">
      <w:pPr>
        <w:pStyle w:val="3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6、</w:t>
      </w:r>
      <w:r>
        <w:rPr>
          <w:rFonts w:hint="eastAsia" w:ascii="宋体" w:hAnsi="宋体" w:eastAsia="宋体" w:cs="宋体"/>
          <w:b w:val="0"/>
          <w:bCs/>
          <w:color w:val="auto"/>
        </w:rPr>
        <w:t>“海外客户到底在买什么”改为“特性相关”</w:t>
      </w:r>
    </w:p>
    <w:p w14:paraId="1AB8678C">
      <w:pPr>
        <w:pStyle w:val="4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1）</w:t>
      </w:r>
      <w:r>
        <w:rPr>
          <w:rFonts w:hint="eastAsia" w:ascii="宋体" w:hAnsi="宋体" w:eastAsia="宋体" w:cs="宋体"/>
          <w:b w:val="0"/>
          <w:bCs/>
          <w:color w:val="auto"/>
        </w:rPr>
        <w:t>标题统一</w:t>
      </w:r>
    </w:p>
    <w:p w14:paraId="7C2F2CE3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t>同一辆车，海外市场看重哪些特性？</w:t>
      </w:r>
    </w:p>
    <w:p w14:paraId="7786023B">
      <w:pPr>
        <w:pStyle w:val="4"/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lang w:val="en-US" w:eastAsia="zh-CN"/>
        </w:rPr>
        <w:t>2）五张区域卡片</w:t>
      </w:r>
    </w:p>
    <w:p w14:paraId="6234F6B1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</w:rPr>
        <w:drawing>
          <wp:inline distT="0" distB="0" distL="114300" distR="114300">
            <wp:extent cx="5974715" cy="1243330"/>
            <wp:effectExtent l="0" t="0" r="19685" b="12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6968">
      <w:pPr>
        <w:pStyle w:val="4"/>
        <w:rPr>
          <w:rFonts w:hint="eastAsia" w:ascii="宋体" w:hAnsi="宋体" w:eastAsia="宋体" w:cs="宋体"/>
          <w:b w:val="0"/>
          <w:bCs/>
          <w:color w:val="auto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2"/>
          <w:lang w:val="en-US" w:eastAsia="zh-CN" w:bidi="ar-SA"/>
        </w:rPr>
        <w:t>概括部分保持一致</w:t>
      </w:r>
    </w:p>
    <w:p w14:paraId="7ABB94B1">
      <w:pPr>
        <w:pStyle w:val="4"/>
        <w:rPr>
          <w:rFonts w:hint="eastAsia" w:ascii="宋体" w:hAnsi="宋体" w:eastAsia="宋体" w:cs="宋体"/>
          <w:b w:val="0"/>
          <w:bCs/>
          <w:color w:val="auto"/>
          <w:sz w:val="21"/>
          <w:szCs w:val="2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2"/>
          <w:u w:val="single"/>
          <w:lang w:val="en-US" w:eastAsia="zh-CN" w:bidi="ar-SA"/>
        </w:rPr>
        <w:t>避免、 ·  + 三种格式</w:t>
      </w:r>
    </w:p>
    <w:p w14:paraId="0AC0EEDF">
      <w:pPr>
        <w:rPr>
          <w:rFonts w:hint="eastAsia"/>
          <w:lang w:val="en-US" w:eastAsia="zh-CN"/>
        </w:rPr>
      </w:pPr>
    </w:p>
    <w:p w14:paraId="5874D794">
      <w:pPr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  <w:lang w:val="en-US" w:eastAsia="zh-CN"/>
        </w:rPr>
        <w:t>A、</w:t>
      </w:r>
      <w:r>
        <w:rPr>
          <w:rFonts w:hint="eastAsia" w:ascii="宋体" w:hAnsi="宋体" w:eastAsia="宋体" w:cs="宋体"/>
          <w:b w:val="0"/>
          <w:bCs/>
          <w:color w:val="auto"/>
          <w:sz w:val="20"/>
        </w:rPr>
        <w:t>非洲与偏远市场</w:t>
      </w:r>
    </w:p>
    <w:p w14:paraId="2A982C35">
      <w:pPr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耐用、结实、易维修</w:t>
      </w:r>
    </w:p>
    <w:p w14:paraId="7C14C0B0">
      <w:p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销售半径长、维修网点稀疏，客户更看重车辆能否经受复杂路况，以及配件能否快速替换。</w:t>
      </w:r>
    </w:p>
    <w:p w14:paraId="2EC6CA2D">
      <w:pPr>
        <w:numPr>
          <w:ilvl w:val="0"/>
          <w:numId w:val="9"/>
        </w:numPr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中亚与俄罗斯</w:t>
      </w:r>
    </w:p>
    <w:p w14:paraId="0BBB13B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大车型、高载重与低温适应</w:t>
      </w:r>
    </w:p>
    <w:p w14:paraId="574608CC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市场进入较早，部分区域已进入价格主导的存量竞争。</w:t>
      </w:r>
    </w:p>
    <w:p w14:paraId="01E91168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东南亚</w:t>
      </w:r>
    </w:p>
    <w:p w14:paraId="459FC83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轻便、续航、性价比与批量交付。</w:t>
      </w:r>
    </w:p>
    <w:p w14:paraId="3419095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需求增长快，但价格竞争也更集中，售后能力直接影响品牌口碑。</w:t>
      </w:r>
    </w:p>
    <w:p w14:paraId="430FA54C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拉美</w:t>
      </w:r>
    </w:p>
    <w:p w14:paraId="3619CE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客货两用、爬坡能力与扭矩</w:t>
      </w:r>
    </w:p>
    <w:p w14:paraId="088AF7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农场、配送和复杂坡道场景，让“能装、能爬、能修”成为核心特性。</w:t>
      </w:r>
    </w:p>
    <w:p w14:paraId="00BAC3EF">
      <w:pPr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0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欧美</w:t>
      </w:r>
    </w:p>
    <w:p w14:paraId="2847CA8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智能功能、改装空间、认证与售后。</w:t>
      </w:r>
    </w:p>
    <w:p w14:paraId="055E664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eastAsia="宋体" w:cs="宋体"/>
          <w:b w:val="0"/>
          <w:bCs/>
          <w:color w:val="auto"/>
          <w:sz w:val="20"/>
        </w:rPr>
        <w:t>宽轮胎、车架强度、App连接等功能受到关注，但CE、DOT等认证和本地服务是进入市场的前提。</w:t>
      </w:r>
    </w:p>
    <w:p w14:paraId="615B0672">
      <w:pPr>
        <w:spacing w:after="0"/>
        <w:rPr>
          <w:rFonts w:hint="eastAsia" w:ascii="宋体" w:hAnsi="宋体" w:eastAsia="宋体" w:cs="宋体"/>
          <w:b w:val="0"/>
          <w:bCs/>
          <w:color w:val="auto"/>
        </w:rPr>
      </w:pPr>
    </w:p>
    <w:p w14:paraId="2F0D77B1">
      <w:pPr>
        <w:rPr>
          <w:rFonts w:hint="eastAsia" w:ascii="宋体" w:hAnsi="宋体" w:eastAsia="宋体" w:cs="宋体"/>
          <w:b w:val="0"/>
          <w:bCs/>
          <w:color w:val="auto"/>
        </w:rPr>
      </w:pPr>
    </w:p>
    <w:sectPr>
      <w:headerReference r:id="rId7" w:type="default"/>
      <w:footerReference r:id="rId8" w:type="default"/>
      <w:pgSz w:w="11906" w:h="16838"/>
      <w:pgMar w:top="1134" w:right="1247" w:bottom="1020" w:left="1247" w:header="454" w:footer="454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3wy" w:date="2026-07-17T22:25:14Z" w:initials="">
    <w:p w14:paraId="3BD6660A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图源：niu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BD6660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32EE8">
    <w:pPr>
      <w:pStyle w:val="25"/>
      <w:jc w:val="center"/>
    </w:pPr>
    <w:r>
      <w:rPr>
        <w:rFonts w:ascii="Noto Sans CJK SC" w:hAnsi="Noto Sans CJK SC" w:eastAsia="Noto Sans CJK SC"/>
        <w:color w:val="6B7280"/>
        <w:sz w:val="16"/>
      </w:rPr>
      <w:fldChar w:fldCharType="begin"/>
    </w:r>
    <w:r>
      <w:rPr>
        <w:rFonts w:ascii="Noto Sans CJK SC" w:hAnsi="Noto Sans CJK SC" w:eastAsia="Noto Sans CJK SC"/>
        <w:color w:val="6B7280"/>
        <w:sz w:val="16"/>
      </w:rPr>
      <w:instrText xml:space="preserve"> PAGE </w:instrText>
    </w:r>
    <w:r>
      <w:rPr>
        <w:rFonts w:ascii="Noto Sans CJK SC" w:hAnsi="Noto Sans CJK SC" w:eastAsia="Noto Sans CJK SC"/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F2A82">
    <w:pPr>
      <w:pStyle w:val="2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F197"/>
    <w:multiLevelType w:val="singleLevel"/>
    <w:tmpl w:val="FFF7F197"/>
    <w:lvl w:ilvl="0" w:tentative="0">
      <w:start w:val="2"/>
      <w:numFmt w:val="upperLetter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FDEA176"/>
    <w:multiLevelType w:val="singleLevel"/>
    <w:tmpl w:val="3FDEA17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3CF2A8E"/>
    <w:multiLevelType w:val="singleLevel"/>
    <w:tmpl w:val="73CF2A8E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8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3wy">
    <w15:presenceInfo w15:providerId="WPS Office" w15:userId="21738672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5F6E3C"/>
    <w:rsid w:val="D4D7B375"/>
    <w:rsid w:val="DCED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Noto Sans CJK SC" w:hAnsi="Noto Sans CJK SC" w:eastAsia="Noto Sans CJK SC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17324D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17324D"/>
      <w:sz w:val="27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B3832D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pPr>
      <w:keepNext/>
      <w:spacing w:before="0" w:after="360"/>
    </w:pPr>
    <w:rPr>
      <w:rFonts w:asciiTheme="majorHAnsi" w:hAnsiTheme="majorHAnsi" w:eastAsiaTheme="majorEastAsia" w:cstheme="majorBidi"/>
      <w:b/>
      <w:i/>
      <w:iCs/>
      <w:color w:val="6B728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pBdr>
        <w:bottom w:val="single" w:color="4F81BD" w:themeColor="accent1" w:sz="8" w:space="4"/>
      </w:pBdr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4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Small Note"/>
    <w:uiPriority w:val="0"/>
    <w:pPr>
      <w:spacing w:after="60" w:line="288" w:lineRule="auto"/>
    </w:pPr>
    <w:rPr>
      <w:rFonts w:ascii="Noto Sans CJK SC" w:hAnsi="Noto Sans CJK SC" w:eastAsia="Noto Sans CJK SC" w:cstheme="minorBidi"/>
      <w:color w:val="6B7280"/>
      <w:sz w:val="17"/>
      <w:szCs w:val="22"/>
      <w:lang w:val="en-US" w:eastAsia="en-US" w:bidi="ar-SA"/>
    </w:rPr>
  </w:style>
  <w:style w:type="paragraph" w:customStyle="1" w:styleId="166">
    <w:name w:val="Extracted Text"/>
    <w:uiPriority w:val="0"/>
    <w:pPr>
      <w:spacing w:after="100" w:line="348" w:lineRule="auto"/>
      <w:ind w:firstLine="400"/>
    </w:pPr>
    <w:rPr>
      <w:rFonts w:ascii="Noto Serif CJK SC" w:hAnsi="Noto Serif CJK SC" w:eastAsia="Noto Serif CJK SC" w:cstheme="minorBidi"/>
      <w:color w:val="1F2937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3wy</cp:lastModifiedBy>
  <dcterms:modified xsi:type="dcterms:W3CDTF">2026-07-17T22:56:35Z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4FDA04C47BE75B833A415A6A40C8D03D_42</vt:lpwstr>
  </property>
</Properties>
</file>