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PARTE 2: ANÁLISIS EXPLORATORIO DE DATOS (EDA)</w:t>
      </w:r>
    </w:p>
    <w:p>
      <w:pPr>
        <w:jc w:val="center"/>
      </w:pPr>
      <w:r>
        <w:rPr>
          <w:b/>
        </w:rPr>
        <w:t>Proyecto de predicción del precio futuro de TSLA</w:t>
      </w:r>
    </w:p>
    <w:p>
      <w:pPr>
        <w:pStyle w:val="Heading1"/>
      </w:pPr>
      <w:r>
        <w:t>1. Introducción</w:t>
      </w:r>
    </w:p>
    <w:p>
      <w:pPr>
        <w:spacing w:after="120"/>
        <w:jc w:val="both"/>
      </w:pPr>
      <w:r>
        <w:t>El análisis exploratorio de datos se realizó con el propósito de comprender la estructura y el comportamiento del conjunto de datos antes de entrenar los modelos de regresión. Esta etapa permite revisar la calidad de la información, resumir sus valores principales y observar relaciones entre las variables financieras y el precio de cierre del día siguiente.</w:t>
      </w:r>
    </w:p>
    <w:p>
      <w:pPr>
        <w:pStyle w:val="Heading1"/>
      </w:pPr>
      <w:r>
        <w:t>2. Objetivos del análisis</w:t>
      </w:r>
    </w:p>
    <w:p>
      <w:pPr>
        <w:pStyle w:val="ListBullet"/>
      </w:pPr>
      <w:r>
        <w:t>Comprobar que el dataset esté completo y organizado.</w:t>
      </w:r>
    </w:p>
    <w:p>
      <w:pPr>
        <w:pStyle w:val="ListBullet"/>
      </w:pPr>
      <w:r>
        <w:t>Interpretar las estadísticas descriptivas.</w:t>
      </w:r>
    </w:p>
    <w:p>
      <w:pPr>
        <w:pStyle w:val="ListBullet"/>
      </w:pPr>
      <w:r>
        <w:t>Visualizar tendencias, distribuciones y valores extremos.</w:t>
      </w:r>
    </w:p>
    <w:p>
      <w:pPr>
        <w:pStyle w:val="ListBullet"/>
      </w:pPr>
      <w:r>
        <w:t>Identificar las variables que presentan mayor relación con precio_futuro.</w:t>
      </w:r>
    </w:p>
    <w:p>
      <w:pPr>
        <w:pStyle w:val="ListBullet"/>
      </w:pPr>
      <w:r>
        <w:t>Dejar una base clara para la etapa de entrenamiento de los modelos.</w:t>
      </w:r>
    </w:p>
    <w:p>
      <w:pPr>
        <w:pStyle w:val="Heading1"/>
      </w:pPr>
      <w:r>
        <w:t>3. Descripción del dataset</w:t>
      </w:r>
    </w:p>
    <w:p>
      <w:pPr>
        <w:spacing w:after="120"/>
        <w:jc w:val="both"/>
      </w:pPr>
      <w:r>
        <w:t>El archivo procesado contiene 1,624 registros y 12 columnas. Once columnas son variables de entrada y precio_futuro es la variable objetivo. Las características fueron estandarizadas previamente, mientras que la variable objetivo conserva sus valores reales en dólares. La revisión encontró cero valores nulos y cero registros duplicados.</w:t>
      </w:r>
    </w:p>
    <w:tbl>
      <w:tblPr>
        <w:tblStyle w:val="TableGrid"/>
        <w:tblW w:type="auto" w:w="0"/>
        <w:jc w:val="center"/>
        <w:tblLook w:firstColumn="1" w:firstRow="1" w:lastColumn="0" w:lastRow="0" w:noHBand="0" w:noVBand="1" w:val="04A0"/>
      </w:tblPr>
      <w:tblGrid>
        <w:gridCol w:w="4968"/>
        <w:gridCol w:w="4968"/>
      </w:tblGrid>
      <w:tr>
        <w:tc>
          <w:tcPr>
            <w:tcW w:type="dxa" w:w="4968"/>
          </w:tcPr>
          <w:p>
            <w:r>
              <w:t>Aspecto</w:t>
            </w:r>
          </w:p>
        </w:tc>
        <w:tc>
          <w:tcPr>
            <w:tcW w:type="dxa" w:w="4968"/>
          </w:tcPr>
          <w:p>
            <w:r>
              <w:t>Resultado</w:t>
            </w:r>
          </w:p>
        </w:tc>
      </w:tr>
      <w:tr>
        <w:tc>
          <w:tcPr>
            <w:tcW w:type="dxa" w:w="4968"/>
          </w:tcPr>
          <w:p>
            <w:r>
              <w:t>Registros</w:t>
            </w:r>
          </w:p>
        </w:tc>
        <w:tc>
          <w:tcPr>
            <w:tcW w:type="dxa" w:w="4968"/>
          </w:tcPr>
          <w:p>
            <w:r>
              <w:t>1,624</w:t>
            </w:r>
          </w:p>
        </w:tc>
      </w:tr>
      <w:tr>
        <w:tc>
          <w:tcPr>
            <w:tcW w:type="dxa" w:w="4968"/>
          </w:tcPr>
          <w:p>
            <w:r>
              <w:t>Columnas</w:t>
            </w:r>
          </w:p>
        </w:tc>
        <w:tc>
          <w:tcPr>
            <w:tcW w:type="dxa" w:w="4968"/>
          </w:tcPr>
          <w:p>
            <w:r>
              <w:t>12</w:t>
            </w:r>
          </w:p>
        </w:tc>
      </w:tr>
      <w:tr>
        <w:tc>
          <w:tcPr>
            <w:tcW w:type="dxa" w:w="4968"/>
          </w:tcPr>
          <w:p>
            <w:r>
              <w:t>Variables predictoras</w:t>
            </w:r>
          </w:p>
        </w:tc>
        <w:tc>
          <w:tcPr>
            <w:tcW w:type="dxa" w:w="4968"/>
          </w:tcPr>
          <w:p>
            <w:r>
              <w:t>11</w:t>
            </w:r>
          </w:p>
        </w:tc>
      </w:tr>
      <w:tr>
        <w:tc>
          <w:tcPr>
            <w:tcW w:type="dxa" w:w="4968"/>
          </w:tcPr>
          <w:p>
            <w:r>
              <w:t>Variable objetivo</w:t>
            </w:r>
          </w:p>
        </w:tc>
        <w:tc>
          <w:tcPr>
            <w:tcW w:type="dxa" w:w="4968"/>
          </w:tcPr>
          <w:p>
            <w:r>
              <w:t>precio_futuro</w:t>
            </w:r>
          </w:p>
        </w:tc>
      </w:tr>
      <w:tr>
        <w:tc>
          <w:tcPr>
            <w:tcW w:type="dxa" w:w="4968"/>
          </w:tcPr>
          <w:p>
            <w:r>
              <w:t>Valores nulos</w:t>
            </w:r>
          </w:p>
        </w:tc>
        <w:tc>
          <w:tcPr>
            <w:tcW w:type="dxa" w:w="4968"/>
          </w:tcPr>
          <w:p>
            <w:r>
              <w:t>0</w:t>
            </w:r>
          </w:p>
        </w:tc>
      </w:tr>
      <w:tr>
        <w:tc>
          <w:tcPr>
            <w:tcW w:type="dxa" w:w="4968"/>
          </w:tcPr>
          <w:p>
            <w:r>
              <w:t>Duplicados</w:t>
            </w:r>
          </w:p>
        </w:tc>
        <w:tc>
          <w:tcPr>
            <w:tcW w:type="dxa" w:w="4968"/>
          </w:tcPr>
          <w:p>
            <w:r>
              <w:t>0</w:t>
            </w:r>
          </w:p>
        </w:tc>
      </w:tr>
    </w:tbl>
    <w:p>
      <w:pPr>
        <w:pStyle w:val="Heading1"/>
      </w:pPr>
      <w:r>
        <w:t>4. Estadísticas descriptivas</w:t>
      </w:r>
    </w:p>
    <w:p>
      <w:pPr>
        <w:spacing w:after="120"/>
        <w:jc w:val="both"/>
      </w:pPr>
      <w:r>
        <w:t>El precio futuro presentó una media de US$493.29, una mediana de US$400.56 y una desviación estándar de US$323.58. El mínimo fue US$108.10 y el máximo US$2238.75. La diferencia entre la media y la mediana, junto con el valor máximo, muestra una distribución extendida hacia precios altos.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Variable</w:t>
            </w:r>
          </w:p>
        </w:tc>
        <w:tc>
          <w:tcPr>
            <w:tcW w:type="dxa" w:w="1656"/>
          </w:tcPr>
          <w:p>
            <w:r>
              <w:t>Media</w:t>
            </w:r>
          </w:p>
        </w:tc>
        <w:tc>
          <w:tcPr>
            <w:tcW w:type="dxa" w:w="1656"/>
          </w:tcPr>
          <w:p>
            <w:r>
              <w:t>Mediana</w:t>
            </w:r>
          </w:p>
        </w:tc>
        <w:tc>
          <w:tcPr>
            <w:tcW w:type="dxa" w:w="1656"/>
          </w:tcPr>
          <w:p>
            <w:r>
              <w:t>Desv. estándar</w:t>
            </w:r>
          </w:p>
        </w:tc>
        <w:tc>
          <w:tcPr>
            <w:tcW w:type="dxa" w:w="1656"/>
          </w:tcPr>
          <w:p>
            <w:r>
              <w:t>Mínimo</w:t>
            </w:r>
          </w:p>
        </w:tc>
        <w:tc>
          <w:tcPr>
            <w:tcW w:type="dxa" w:w="1656"/>
          </w:tcPr>
          <w:p>
            <w:r>
              <w:t>Máximo</w:t>
            </w:r>
          </w:p>
        </w:tc>
      </w:tr>
      <w:tr>
        <w:tc>
          <w:tcPr>
            <w:tcW w:type="dxa" w:w="1656"/>
          </w:tcPr>
          <w:p>
            <w:r>
              <w:t>precio_futuro</w:t>
            </w:r>
          </w:p>
        </w:tc>
        <w:tc>
          <w:tcPr>
            <w:tcW w:type="dxa" w:w="1656"/>
          </w:tcPr>
          <w:p>
            <w:r>
              <w:t>493.289</w:t>
            </w:r>
          </w:p>
        </w:tc>
        <w:tc>
          <w:tcPr>
            <w:tcW w:type="dxa" w:w="1656"/>
          </w:tcPr>
          <w:p>
            <w:r>
              <w:t>400.565</w:t>
            </w:r>
          </w:p>
        </w:tc>
        <w:tc>
          <w:tcPr>
            <w:tcW w:type="dxa" w:w="1656"/>
          </w:tcPr>
          <w:p>
            <w:r>
              <w:t>323.582</w:t>
            </w:r>
          </w:p>
        </w:tc>
        <w:tc>
          <w:tcPr>
            <w:tcW w:type="dxa" w:w="1656"/>
          </w:tcPr>
          <w:p>
            <w:r>
              <w:t>108.100</w:t>
            </w:r>
          </w:p>
        </w:tc>
        <w:tc>
          <w:tcPr>
            <w:tcW w:type="dxa" w:w="1656"/>
          </w:tcPr>
          <w:p>
            <w:r>
              <w:t>2238.750</w:t>
            </w:r>
          </w:p>
        </w:tc>
      </w:tr>
      <w:tr>
        <w:tc>
          <w:tcPr>
            <w:tcW w:type="dxa" w:w="1656"/>
          </w:tcPr>
          <w:p>
            <w:r>
              <w:t>close</w:t>
            </w:r>
          </w:p>
        </w:tc>
        <w:tc>
          <w:tcPr>
            <w:tcW w:type="dxa" w:w="1656"/>
          </w:tcPr>
          <w:p>
            <w:r>
              <w:t>-0.000</w:t>
            </w:r>
          </w:p>
        </w:tc>
        <w:tc>
          <w:tcPr>
            <w:tcW w:type="dxa" w:w="1656"/>
          </w:tcPr>
          <w:p>
            <w:r>
              <w:t>-0.286</w:t>
            </w:r>
          </w:p>
        </w:tc>
        <w:tc>
          <w:tcPr>
            <w:tcW w:type="dxa" w:w="1656"/>
          </w:tcPr>
          <w:p>
            <w:r>
              <w:t>1.000</w:t>
            </w:r>
          </w:p>
        </w:tc>
        <w:tc>
          <w:tcPr>
            <w:tcW w:type="dxa" w:w="1656"/>
          </w:tcPr>
          <w:p>
            <w:r>
              <w:t>-1.191</w:t>
            </w:r>
          </w:p>
        </w:tc>
        <w:tc>
          <w:tcPr>
            <w:tcW w:type="dxa" w:w="1656"/>
          </w:tcPr>
          <w:p>
            <w:r>
              <w:t>5.395</w:t>
            </w:r>
          </w:p>
        </w:tc>
      </w:tr>
      <w:tr>
        <w:tc>
          <w:tcPr>
            <w:tcW w:type="dxa" w:w="1656"/>
          </w:tcPr>
          <w:p>
            <w:r>
              <w:t>retorno_diario</w:t>
            </w:r>
          </w:p>
        </w:tc>
        <w:tc>
          <w:tcPr>
            <w:tcW w:type="dxa" w:w="1656"/>
          </w:tcPr>
          <w:p>
            <w:r>
              <w:t>-0.000</w:t>
            </w:r>
          </w:p>
        </w:tc>
        <w:tc>
          <w:tcPr>
            <w:tcW w:type="dxa" w:w="1656"/>
          </w:tcPr>
          <w:p>
            <w:r>
              <w:t>0.005</w:t>
            </w:r>
          </w:p>
        </w:tc>
        <w:tc>
          <w:tcPr>
            <w:tcW w:type="dxa" w:w="1656"/>
          </w:tcPr>
          <w:p>
            <w:r>
              <w:t>1.000</w:t>
            </w:r>
          </w:p>
        </w:tc>
        <w:tc>
          <w:tcPr>
            <w:tcW w:type="dxa" w:w="1656"/>
          </w:tcPr>
          <w:p>
            <w:r>
              <w:t>-16.140</w:t>
            </w:r>
          </w:p>
        </w:tc>
        <w:tc>
          <w:tcPr>
            <w:tcW w:type="dxa" w:w="1656"/>
          </w:tcPr>
          <w:p>
            <w:r>
              <w:t>4.692</w:t>
            </w:r>
          </w:p>
        </w:tc>
      </w:tr>
      <w:tr>
        <w:tc>
          <w:tcPr>
            <w:tcW w:type="dxa" w:w="1656"/>
          </w:tcPr>
          <w:p>
            <w:r>
              <w:t>volume</w:t>
            </w:r>
          </w:p>
        </w:tc>
        <w:tc>
          <w:tcPr>
            <w:tcW w:type="dxa" w:w="1656"/>
          </w:tcPr>
          <w:p>
            <w:r>
              <w:t>-0.000</w:t>
            </w:r>
          </w:p>
        </w:tc>
        <w:tc>
          <w:tcPr>
            <w:tcW w:type="dxa" w:w="1656"/>
          </w:tcPr>
          <w:p>
            <w:r>
              <w:t>-0.168</w:t>
            </w:r>
          </w:p>
        </w:tc>
        <w:tc>
          <w:tcPr>
            <w:tcW w:type="dxa" w:w="1656"/>
          </w:tcPr>
          <w:p>
            <w:r>
              <w:t>1.000</w:t>
            </w:r>
          </w:p>
        </w:tc>
        <w:tc>
          <w:tcPr>
            <w:tcW w:type="dxa" w:w="1656"/>
          </w:tcPr>
          <w:p>
            <w:r>
              <w:t>-1.368</w:t>
            </w:r>
          </w:p>
        </w:tc>
        <w:tc>
          <w:tcPr>
            <w:tcW w:type="dxa" w:w="1656"/>
          </w:tcPr>
          <w:p>
            <w:r>
              <w:t>4.786</w:t>
            </w:r>
          </w:p>
        </w:tc>
      </w:tr>
      <w:tr>
        <w:tc>
          <w:tcPr>
            <w:tcW w:type="dxa" w:w="1656"/>
          </w:tcPr>
          <w:p>
            <w:r>
              <w:t>volatilidad_5</w:t>
            </w:r>
          </w:p>
        </w:tc>
        <w:tc>
          <w:tcPr>
            <w:tcW w:type="dxa" w:w="1656"/>
          </w:tcPr>
          <w:p>
            <w:r>
              <w:t>0.000</w:t>
            </w:r>
          </w:p>
        </w:tc>
        <w:tc>
          <w:tcPr>
            <w:tcW w:type="dxa" w:w="1656"/>
          </w:tcPr>
          <w:p>
            <w:r>
              <w:t>-0.201</w:t>
            </w:r>
          </w:p>
        </w:tc>
        <w:tc>
          <w:tcPr>
            <w:tcW w:type="dxa" w:w="1656"/>
          </w:tcPr>
          <w:p>
            <w:r>
              <w:t>1.000</w:t>
            </w:r>
          </w:p>
        </w:tc>
        <w:tc>
          <w:tcPr>
            <w:tcW w:type="dxa" w:w="1656"/>
          </w:tcPr>
          <w:p>
            <w:r>
              <w:t>-0.400</w:t>
            </w:r>
          </w:p>
        </w:tc>
        <w:tc>
          <w:tcPr>
            <w:tcW w:type="dxa" w:w="1656"/>
          </w:tcPr>
          <w:p>
            <w:r>
              <w:t>19.614</w:t>
            </w:r>
          </w:p>
        </w:tc>
      </w:tr>
    </w:tbl>
    <w:p>
      <w:pPr>
        <w:pStyle w:val="Heading1"/>
      </w:pPr>
      <w:r>
        <w:t>5. Evolución del precio futuro</w:t>
      </w:r>
    </w:p>
    <w:p>
      <w:pPr>
        <w:jc w:val="center"/>
      </w:pPr>
      <w:r>
        <w:drawing>
          <wp:inline xmlns:a="http://schemas.openxmlformats.org/drawingml/2006/main" xmlns:pic="http://schemas.openxmlformats.org/drawingml/2006/picture">
            <wp:extent cx="5715000" cy="2802371"/>
            <wp:docPr id="1" name="Picture 1"/>
            <wp:cNvGraphicFramePr>
              <a:graphicFrameLocks noChangeAspect="1"/>
            </wp:cNvGraphicFramePr>
            <a:graphic>
              <a:graphicData uri="http://schemas.openxmlformats.org/drawingml/2006/picture">
                <pic:pic>
                  <pic:nvPicPr>
                    <pic:cNvPr id="0" name="01_evolucion_precio.png"/>
                    <pic:cNvPicPr/>
                  </pic:nvPicPr>
                  <pic:blipFill>
                    <a:blip r:embed="rId10"/>
                    <a:stretch>
                      <a:fillRect/>
                    </a:stretch>
                  </pic:blipFill>
                  <pic:spPr>
                    <a:xfrm>
                      <a:off x="0" y="0"/>
                      <a:ext cx="5715000" cy="2802371"/>
                    </a:xfrm>
                    <a:prstGeom prst="rect"/>
                  </pic:spPr>
                </pic:pic>
              </a:graphicData>
            </a:graphic>
          </wp:inline>
        </w:drawing>
      </w:r>
    </w:p>
    <w:p>
      <w:pPr>
        <w:jc w:val="center"/>
      </w:pPr>
      <w:r>
        <w:rPr>
          <w:i/>
          <w:sz w:val="18"/>
        </w:rPr>
        <w:t>Figura 1. Evolución del precio futuro de TSLA.</w:t>
      </w:r>
    </w:p>
    <w:p>
      <w:pPr>
        <w:spacing w:after="120"/>
        <w:jc w:val="both"/>
      </w:pPr>
      <w:r>
        <w:t>La gráfica muestra distintos niveles de precio a lo largo de las observaciones, con etapas de crecimiento, descensos y movimientos fuertes. Su importancia consiste en comprobar que el comportamiento no es constante y que los modelos tendrán que aprender patrones de períodos diferentes. El CSV procesado no incluye fecha; por eso se utiliza el orden cronológico de las filas y no se asignan fechas inventadas.</w:t>
      </w:r>
    </w:p>
    <w:p>
      <w:pPr>
        <w:pStyle w:val="Heading1"/>
      </w:pPr>
      <w:r>
        <w:t>6. Distribución y valores extremos</w:t>
      </w:r>
    </w:p>
    <w:p>
      <w:pPr>
        <w:jc w:val="center"/>
      </w:pPr>
      <w:r>
        <w:drawing>
          <wp:inline xmlns:a="http://schemas.openxmlformats.org/drawingml/2006/main" xmlns:pic="http://schemas.openxmlformats.org/drawingml/2006/picture">
            <wp:extent cx="5715000" cy="3116653"/>
            <wp:docPr id="2" name="Picture 2"/>
            <wp:cNvGraphicFramePr>
              <a:graphicFrameLocks noChangeAspect="1"/>
            </wp:cNvGraphicFramePr>
            <a:graphic>
              <a:graphicData uri="http://schemas.openxmlformats.org/drawingml/2006/picture">
                <pic:pic>
                  <pic:nvPicPr>
                    <pic:cNvPr id="0" name="02_histograma_precio.png"/>
                    <pic:cNvPicPr/>
                  </pic:nvPicPr>
                  <pic:blipFill>
                    <a:blip r:embed="rId11"/>
                    <a:stretch>
                      <a:fillRect/>
                    </a:stretch>
                  </pic:blipFill>
                  <pic:spPr>
                    <a:xfrm>
                      <a:off x="0" y="0"/>
                      <a:ext cx="5715000" cy="3116653"/>
                    </a:xfrm>
                    <a:prstGeom prst="rect"/>
                  </pic:spPr>
                </pic:pic>
              </a:graphicData>
            </a:graphic>
          </wp:inline>
        </w:drawing>
      </w:r>
    </w:p>
    <w:p>
      <w:pPr>
        <w:jc w:val="center"/>
      </w:pPr>
      <w:r>
        <w:rPr>
          <w:i/>
          <w:sz w:val="18"/>
        </w:rPr>
        <w:t>Figura 2. Distribución del precio futuro.</w:t>
      </w:r>
    </w:p>
    <w:p>
      <w:pPr>
        <w:jc w:val="center"/>
      </w:pPr>
      <w:r>
        <w:drawing>
          <wp:inline xmlns:a="http://schemas.openxmlformats.org/drawingml/2006/main" xmlns:pic="http://schemas.openxmlformats.org/drawingml/2006/picture">
            <wp:extent cx="5715000" cy="2331611"/>
            <wp:docPr id="3" name="Picture 3"/>
            <wp:cNvGraphicFramePr>
              <a:graphicFrameLocks noChangeAspect="1"/>
            </wp:cNvGraphicFramePr>
            <a:graphic>
              <a:graphicData uri="http://schemas.openxmlformats.org/drawingml/2006/picture">
                <pic:pic>
                  <pic:nvPicPr>
                    <pic:cNvPr id="0" name="03_boxplot_precio.png"/>
                    <pic:cNvPicPr/>
                  </pic:nvPicPr>
                  <pic:blipFill>
                    <a:blip r:embed="rId12"/>
                    <a:stretch>
                      <a:fillRect/>
                    </a:stretch>
                  </pic:blipFill>
                  <pic:spPr>
                    <a:xfrm>
                      <a:off x="0" y="0"/>
                      <a:ext cx="5715000" cy="2331611"/>
                    </a:xfrm>
                    <a:prstGeom prst="rect"/>
                  </pic:spPr>
                </pic:pic>
              </a:graphicData>
            </a:graphic>
          </wp:inline>
        </w:drawing>
      </w:r>
    </w:p>
    <w:p>
      <w:pPr>
        <w:jc w:val="center"/>
      </w:pPr>
      <w:r>
        <w:rPr>
          <w:i/>
          <w:sz w:val="18"/>
        </w:rPr>
        <w:t>Figura 3. Diagrama de caja del precio futuro.</w:t>
      </w:r>
    </w:p>
    <w:p>
      <w:pPr>
        <w:spacing w:after="120"/>
        <w:jc w:val="both"/>
      </w:pPr>
      <w:r>
        <w:t>El 50 % central de los precios está entre US$240.98 y US$705.64. El histograma presenta una extensión hacia valores altos, mientras que el boxplot señala observaciones alejadas. Estas observaciones no se eliminaron porque pueden corresponder a movimientos reales de la acción y no necesariamente a errores.</w:t>
      </w:r>
    </w:p>
    <w:p>
      <w:pPr>
        <w:pStyle w:val="Heading1"/>
      </w:pPr>
      <w:r>
        <w:t>7. Retorno diario y volumen</w:t>
      </w:r>
    </w:p>
    <w:p>
      <w:pPr>
        <w:jc w:val="center"/>
      </w:pPr>
      <w:r>
        <w:drawing>
          <wp:inline xmlns:a="http://schemas.openxmlformats.org/drawingml/2006/main" xmlns:pic="http://schemas.openxmlformats.org/drawingml/2006/picture">
            <wp:extent cx="5715000" cy="3113243"/>
            <wp:docPr id="4" name="Picture 4"/>
            <wp:cNvGraphicFramePr>
              <a:graphicFrameLocks noChangeAspect="1"/>
            </wp:cNvGraphicFramePr>
            <a:graphic>
              <a:graphicData uri="http://schemas.openxmlformats.org/drawingml/2006/picture">
                <pic:pic>
                  <pic:nvPicPr>
                    <pic:cNvPr id="0" name="04_histograma_retorno.png"/>
                    <pic:cNvPicPr/>
                  </pic:nvPicPr>
                  <pic:blipFill>
                    <a:blip r:embed="rId13"/>
                    <a:stretch>
                      <a:fillRect/>
                    </a:stretch>
                  </pic:blipFill>
                  <pic:spPr>
                    <a:xfrm>
                      <a:off x="0" y="0"/>
                      <a:ext cx="5715000" cy="3113243"/>
                    </a:xfrm>
                    <a:prstGeom prst="rect"/>
                  </pic:spPr>
                </pic:pic>
              </a:graphicData>
            </a:graphic>
          </wp:inline>
        </w:drawing>
      </w:r>
    </w:p>
    <w:p>
      <w:pPr>
        <w:jc w:val="center"/>
      </w:pPr>
      <w:r>
        <w:rPr>
          <w:i/>
          <w:sz w:val="18"/>
        </w:rPr>
        <w:t>Figura 4. Distribución del retorno diario estandarizado.</w:t>
      </w:r>
    </w:p>
    <w:p>
      <w:pPr>
        <w:jc w:val="center"/>
      </w:pPr>
      <w:r>
        <w:drawing>
          <wp:inline xmlns:a="http://schemas.openxmlformats.org/drawingml/2006/main" xmlns:pic="http://schemas.openxmlformats.org/drawingml/2006/picture">
            <wp:extent cx="5715000" cy="2331611"/>
            <wp:docPr id="5" name="Picture 5"/>
            <wp:cNvGraphicFramePr>
              <a:graphicFrameLocks noChangeAspect="1"/>
            </wp:cNvGraphicFramePr>
            <a:graphic>
              <a:graphicData uri="http://schemas.openxmlformats.org/drawingml/2006/picture">
                <pic:pic>
                  <pic:nvPicPr>
                    <pic:cNvPr id="0" name="05_boxplot_volumen.png"/>
                    <pic:cNvPicPr/>
                  </pic:nvPicPr>
                  <pic:blipFill>
                    <a:blip r:embed="rId14"/>
                    <a:stretch>
                      <a:fillRect/>
                    </a:stretch>
                  </pic:blipFill>
                  <pic:spPr>
                    <a:xfrm>
                      <a:off x="0" y="0"/>
                      <a:ext cx="5715000" cy="2331611"/>
                    </a:xfrm>
                    <a:prstGeom prst="rect"/>
                  </pic:spPr>
                </pic:pic>
              </a:graphicData>
            </a:graphic>
          </wp:inline>
        </w:drawing>
      </w:r>
    </w:p>
    <w:p>
      <w:pPr>
        <w:jc w:val="center"/>
      </w:pPr>
      <w:r>
        <w:rPr>
          <w:i/>
          <w:sz w:val="18"/>
        </w:rPr>
        <w:t>Figura 5. Diagrama de caja del volumen estandarizado.</w:t>
      </w:r>
    </w:p>
    <w:p>
      <w:pPr>
        <w:spacing w:after="120"/>
        <w:jc w:val="both"/>
      </w:pPr>
      <w:r>
        <w:t>La mayoría de los retornos diarios se concentra cerca del promedio, aunque existen jornadas con variaciones más fuertes. En el volumen también aparecen valores extremos, los cuales pueden representar días con una actividad de negociación superior a lo habitual. Como ambas variables están estandarizadas, sus valores negativos no significan retornos o volúmenes imposibles; indican posiciones por debajo de la media del conjunto.</w:t>
      </w:r>
    </w:p>
    <w:p>
      <w:pPr>
        <w:pStyle w:val="Heading1"/>
      </w:pPr>
      <w:r>
        <w:t>8. Matriz de correlación</w:t>
      </w:r>
    </w:p>
    <w:p>
      <w:pPr>
        <w:jc w:val="center"/>
      </w:pPr>
      <w:r>
        <w:drawing>
          <wp:inline xmlns:a="http://schemas.openxmlformats.org/drawingml/2006/main" xmlns:pic="http://schemas.openxmlformats.org/drawingml/2006/picture">
            <wp:extent cx="5715000" cy="4642660"/>
            <wp:docPr id="6" name="Picture 6"/>
            <wp:cNvGraphicFramePr>
              <a:graphicFrameLocks noChangeAspect="1"/>
            </wp:cNvGraphicFramePr>
            <a:graphic>
              <a:graphicData uri="http://schemas.openxmlformats.org/drawingml/2006/picture">
                <pic:pic>
                  <pic:nvPicPr>
                    <pic:cNvPr id="0" name="06_heatmap_correlacion.png"/>
                    <pic:cNvPicPr/>
                  </pic:nvPicPr>
                  <pic:blipFill>
                    <a:blip r:embed="rId15"/>
                    <a:stretch>
                      <a:fillRect/>
                    </a:stretch>
                  </pic:blipFill>
                  <pic:spPr>
                    <a:xfrm>
                      <a:off x="0" y="0"/>
                      <a:ext cx="5715000" cy="4642660"/>
                    </a:xfrm>
                    <a:prstGeom prst="rect"/>
                  </pic:spPr>
                </pic:pic>
              </a:graphicData>
            </a:graphic>
          </wp:inline>
        </w:drawing>
      </w:r>
    </w:p>
    <w:p>
      <w:pPr>
        <w:jc w:val="center"/>
      </w:pPr>
      <w:r>
        <w:rPr>
          <w:i/>
          <w:sz w:val="18"/>
        </w:rPr>
        <w:t>Figura 6. Matriz de correlación de las variables.</w:t>
      </w:r>
    </w:p>
    <w:p>
      <w:pPr>
        <w:jc w:val="center"/>
      </w:pPr>
      <w:r>
        <w:drawing>
          <wp:inline xmlns:a="http://schemas.openxmlformats.org/drawingml/2006/main" xmlns:pic="http://schemas.openxmlformats.org/drawingml/2006/picture">
            <wp:extent cx="5715000" cy="3764535"/>
            <wp:docPr id="7" name="Picture 7"/>
            <wp:cNvGraphicFramePr>
              <a:graphicFrameLocks noChangeAspect="1"/>
            </wp:cNvGraphicFramePr>
            <a:graphic>
              <a:graphicData uri="http://schemas.openxmlformats.org/drawingml/2006/picture">
                <pic:pic>
                  <pic:nvPicPr>
                    <pic:cNvPr id="0" name="07_correlacion_objetivo.png"/>
                    <pic:cNvPicPr/>
                  </pic:nvPicPr>
                  <pic:blipFill>
                    <a:blip r:embed="rId16"/>
                    <a:stretch>
                      <a:fillRect/>
                    </a:stretch>
                  </pic:blipFill>
                  <pic:spPr>
                    <a:xfrm>
                      <a:off x="0" y="0"/>
                      <a:ext cx="5715000" cy="3764535"/>
                    </a:xfrm>
                    <a:prstGeom prst="rect"/>
                  </pic:spPr>
                </pic:pic>
              </a:graphicData>
            </a:graphic>
          </wp:inline>
        </w:drawing>
      </w:r>
    </w:p>
    <w:p>
      <w:pPr>
        <w:jc w:val="center"/>
      </w:pPr>
      <w:r>
        <w:rPr>
          <w:i/>
          <w:sz w:val="18"/>
        </w:rPr>
        <w:t>Figura 7. Correlación de las características con precio_futuro.</w:t>
      </w:r>
    </w:p>
    <w:p>
      <w:pPr>
        <w:spacing w:after="120"/>
        <w:jc w:val="both"/>
      </w:pPr>
      <w:r>
        <w:t>Las relaciones más altas con el precio futuro corresponden a close (0.9873), low (0.9860), high (0.9854) y open (0.9842). También se observan valores elevados en precio_anterior (0.9740), sma_5 (0.9715) y sma_20 (0.9170). El volumen (-0.6826) y volumen_promedio_5 (-0.7225) presentan asociaciones negativas. Una correlación alta indica relación lineal, pero no demuestra causalidad.</w:t>
      </w:r>
    </w:p>
    <w:tbl>
      <w:tblPr>
        <w:tblStyle w:val="TableGrid"/>
        <w:tblW w:type="auto" w:w="0"/>
        <w:jc w:val="center"/>
        <w:tblLook w:firstColumn="1" w:firstRow="1" w:lastColumn="0" w:lastRow="0" w:noHBand="0" w:noVBand="1" w:val="04A0"/>
      </w:tblPr>
      <w:tblGrid>
        <w:gridCol w:w="4968"/>
        <w:gridCol w:w="4968"/>
      </w:tblGrid>
      <w:tr>
        <w:tc>
          <w:tcPr>
            <w:tcW w:type="dxa" w:w="4968"/>
          </w:tcPr>
          <w:p>
            <w:r>
              <w:t>Variable</w:t>
            </w:r>
          </w:p>
        </w:tc>
        <w:tc>
          <w:tcPr>
            <w:tcW w:type="dxa" w:w="4968"/>
          </w:tcPr>
          <w:p>
            <w:r>
              <w:t>Correlación con precio_futuro</w:t>
            </w:r>
          </w:p>
        </w:tc>
      </w:tr>
      <w:tr>
        <w:tc>
          <w:tcPr>
            <w:tcW w:type="dxa" w:w="4968"/>
          </w:tcPr>
          <w:p>
            <w:r>
              <w:t>close</w:t>
            </w:r>
          </w:p>
        </w:tc>
        <w:tc>
          <w:tcPr>
            <w:tcW w:type="dxa" w:w="4968"/>
          </w:tcPr>
          <w:p>
            <w:r>
              <w:t>0.9873</w:t>
            </w:r>
          </w:p>
        </w:tc>
      </w:tr>
      <w:tr>
        <w:tc>
          <w:tcPr>
            <w:tcW w:type="dxa" w:w="4968"/>
          </w:tcPr>
          <w:p>
            <w:r>
              <w:t>low</w:t>
            </w:r>
          </w:p>
        </w:tc>
        <w:tc>
          <w:tcPr>
            <w:tcW w:type="dxa" w:w="4968"/>
          </w:tcPr>
          <w:p>
            <w:r>
              <w:t>0.9860</w:t>
            </w:r>
          </w:p>
        </w:tc>
      </w:tr>
      <w:tr>
        <w:tc>
          <w:tcPr>
            <w:tcW w:type="dxa" w:w="4968"/>
          </w:tcPr>
          <w:p>
            <w:r>
              <w:t>high</w:t>
            </w:r>
          </w:p>
        </w:tc>
        <w:tc>
          <w:tcPr>
            <w:tcW w:type="dxa" w:w="4968"/>
          </w:tcPr>
          <w:p>
            <w:r>
              <w:t>0.9854</w:t>
            </w:r>
          </w:p>
        </w:tc>
      </w:tr>
      <w:tr>
        <w:tc>
          <w:tcPr>
            <w:tcW w:type="dxa" w:w="4968"/>
          </w:tcPr>
          <w:p>
            <w:r>
              <w:t>open</w:t>
            </w:r>
          </w:p>
        </w:tc>
        <w:tc>
          <w:tcPr>
            <w:tcW w:type="dxa" w:w="4968"/>
          </w:tcPr>
          <w:p>
            <w:r>
              <w:t>0.9842</w:t>
            </w:r>
          </w:p>
        </w:tc>
      </w:tr>
      <w:tr>
        <w:tc>
          <w:tcPr>
            <w:tcW w:type="dxa" w:w="4968"/>
          </w:tcPr>
          <w:p>
            <w:r>
              <w:t>precio_anterior</w:t>
            </w:r>
          </w:p>
        </w:tc>
        <w:tc>
          <w:tcPr>
            <w:tcW w:type="dxa" w:w="4968"/>
          </w:tcPr>
          <w:p>
            <w:r>
              <w:t>0.9740</w:t>
            </w:r>
          </w:p>
        </w:tc>
      </w:tr>
      <w:tr>
        <w:tc>
          <w:tcPr>
            <w:tcW w:type="dxa" w:w="4968"/>
          </w:tcPr>
          <w:p>
            <w:r>
              <w:t>sma_5</w:t>
            </w:r>
          </w:p>
        </w:tc>
        <w:tc>
          <w:tcPr>
            <w:tcW w:type="dxa" w:w="4968"/>
          </w:tcPr>
          <w:p>
            <w:r>
              <w:t>0.9715</w:t>
            </w:r>
          </w:p>
        </w:tc>
      </w:tr>
      <w:tr>
        <w:tc>
          <w:tcPr>
            <w:tcW w:type="dxa" w:w="4968"/>
          </w:tcPr>
          <w:p>
            <w:r>
              <w:t>sma_20</w:t>
            </w:r>
          </w:p>
        </w:tc>
        <w:tc>
          <w:tcPr>
            <w:tcW w:type="dxa" w:w="4968"/>
          </w:tcPr>
          <w:p>
            <w:r>
              <w:t>0.9170</w:t>
            </w:r>
          </w:p>
        </w:tc>
      </w:tr>
      <w:tr>
        <w:tc>
          <w:tcPr>
            <w:tcW w:type="dxa" w:w="4968"/>
          </w:tcPr>
          <w:p>
            <w:r>
              <w:t>volatilidad_5</w:t>
            </w:r>
          </w:p>
        </w:tc>
        <w:tc>
          <w:tcPr>
            <w:tcW w:type="dxa" w:w="4968"/>
          </w:tcPr>
          <w:p>
            <w:r>
              <w:t>0.2584</w:t>
            </w:r>
          </w:p>
        </w:tc>
      </w:tr>
      <w:tr>
        <w:tc>
          <w:tcPr>
            <w:tcW w:type="dxa" w:w="4968"/>
          </w:tcPr>
          <w:p>
            <w:r>
              <w:t>retorno_diario</w:t>
            </w:r>
          </w:p>
        </w:tc>
        <w:tc>
          <w:tcPr>
            <w:tcW w:type="dxa" w:w="4968"/>
          </w:tcPr>
          <w:p>
            <w:r>
              <w:t>0.0772</w:t>
            </w:r>
          </w:p>
        </w:tc>
      </w:tr>
      <w:tr>
        <w:tc>
          <w:tcPr>
            <w:tcW w:type="dxa" w:w="4968"/>
          </w:tcPr>
          <w:p>
            <w:r>
              <w:t>volume</w:t>
            </w:r>
          </w:p>
        </w:tc>
        <w:tc>
          <w:tcPr>
            <w:tcW w:type="dxa" w:w="4968"/>
          </w:tcPr>
          <w:p>
            <w:r>
              <w:t>-0.6826</w:t>
            </w:r>
          </w:p>
        </w:tc>
      </w:tr>
      <w:tr>
        <w:tc>
          <w:tcPr>
            <w:tcW w:type="dxa" w:w="4968"/>
          </w:tcPr>
          <w:p>
            <w:r>
              <w:t>volumen_promedio_5</w:t>
            </w:r>
          </w:p>
        </w:tc>
        <w:tc>
          <w:tcPr>
            <w:tcW w:type="dxa" w:w="4968"/>
          </w:tcPr>
          <w:p>
            <w:r>
              <w:t>-0.7225</w:t>
            </w:r>
          </w:p>
        </w:tc>
      </w:tr>
    </w:tbl>
    <w:p>
      <w:pPr>
        <w:pStyle w:val="Heading1"/>
      </w:pPr>
      <w:r>
        <w:t>9. Gráficas de dispersión</w:t>
      </w:r>
    </w:p>
    <w:p>
      <w:pPr>
        <w:jc w:val="center"/>
      </w:pPr>
      <w:r>
        <w:drawing>
          <wp:inline xmlns:a="http://schemas.openxmlformats.org/drawingml/2006/main" xmlns:pic="http://schemas.openxmlformats.org/drawingml/2006/picture">
            <wp:extent cx="5715000" cy="3751110"/>
            <wp:docPr id="8" name="Picture 8"/>
            <wp:cNvGraphicFramePr>
              <a:graphicFrameLocks noChangeAspect="1"/>
            </wp:cNvGraphicFramePr>
            <a:graphic>
              <a:graphicData uri="http://schemas.openxmlformats.org/drawingml/2006/picture">
                <pic:pic>
                  <pic:nvPicPr>
                    <pic:cNvPr id="0" name="08_scatter_close.png"/>
                    <pic:cNvPicPr/>
                  </pic:nvPicPr>
                  <pic:blipFill>
                    <a:blip r:embed="rId17"/>
                    <a:stretch>
                      <a:fillRect/>
                    </a:stretch>
                  </pic:blipFill>
                  <pic:spPr>
                    <a:xfrm>
                      <a:off x="0" y="0"/>
                      <a:ext cx="5715000" cy="3751110"/>
                    </a:xfrm>
                    <a:prstGeom prst="rect"/>
                  </pic:spPr>
                </pic:pic>
              </a:graphicData>
            </a:graphic>
          </wp:inline>
        </w:drawing>
      </w:r>
    </w:p>
    <w:p>
      <w:pPr>
        <w:jc w:val="center"/>
      </w:pPr>
      <w:r>
        <w:rPr>
          <w:i/>
          <w:sz w:val="18"/>
        </w:rPr>
        <w:t>Figura 8. Relación entre close y precio_futuro.</w:t>
      </w:r>
    </w:p>
    <w:p>
      <w:pPr>
        <w:jc w:val="center"/>
      </w:pPr>
      <w:r>
        <w:drawing>
          <wp:inline xmlns:a="http://schemas.openxmlformats.org/drawingml/2006/main" xmlns:pic="http://schemas.openxmlformats.org/drawingml/2006/picture">
            <wp:extent cx="5715000" cy="3751110"/>
            <wp:docPr id="9" name="Picture 9"/>
            <wp:cNvGraphicFramePr>
              <a:graphicFrameLocks noChangeAspect="1"/>
            </wp:cNvGraphicFramePr>
            <a:graphic>
              <a:graphicData uri="http://schemas.openxmlformats.org/drawingml/2006/picture">
                <pic:pic>
                  <pic:nvPicPr>
                    <pic:cNvPr id="0" name="09_scatter_precio_anterior.png"/>
                    <pic:cNvPicPr/>
                  </pic:nvPicPr>
                  <pic:blipFill>
                    <a:blip r:embed="rId18"/>
                    <a:stretch>
                      <a:fillRect/>
                    </a:stretch>
                  </pic:blipFill>
                  <pic:spPr>
                    <a:xfrm>
                      <a:off x="0" y="0"/>
                      <a:ext cx="5715000" cy="3751110"/>
                    </a:xfrm>
                    <a:prstGeom prst="rect"/>
                  </pic:spPr>
                </pic:pic>
              </a:graphicData>
            </a:graphic>
          </wp:inline>
        </w:drawing>
      </w:r>
    </w:p>
    <w:p>
      <w:pPr>
        <w:jc w:val="center"/>
      </w:pPr>
      <w:r>
        <w:rPr>
          <w:i/>
          <w:sz w:val="18"/>
        </w:rPr>
        <w:t>Figura 9. Relación entre precio_anterior y precio_futuro.</w:t>
      </w:r>
    </w:p>
    <w:p>
      <w:pPr>
        <w:jc w:val="center"/>
      </w:pPr>
      <w:r>
        <w:drawing>
          <wp:inline xmlns:a="http://schemas.openxmlformats.org/drawingml/2006/main" xmlns:pic="http://schemas.openxmlformats.org/drawingml/2006/picture">
            <wp:extent cx="5715000" cy="3751110"/>
            <wp:docPr id="10" name="Picture 10"/>
            <wp:cNvGraphicFramePr>
              <a:graphicFrameLocks noChangeAspect="1"/>
            </wp:cNvGraphicFramePr>
            <a:graphic>
              <a:graphicData uri="http://schemas.openxmlformats.org/drawingml/2006/picture">
                <pic:pic>
                  <pic:nvPicPr>
                    <pic:cNvPr id="0" name="10_scatter_sma_5.png"/>
                    <pic:cNvPicPr/>
                  </pic:nvPicPr>
                  <pic:blipFill>
                    <a:blip r:embed="rId19"/>
                    <a:stretch>
                      <a:fillRect/>
                    </a:stretch>
                  </pic:blipFill>
                  <pic:spPr>
                    <a:xfrm>
                      <a:off x="0" y="0"/>
                      <a:ext cx="5715000" cy="3751110"/>
                    </a:xfrm>
                    <a:prstGeom prst="rect"/>
                  </pic:spPr>
                </pic:pic>
              </a:graphicData>
            </a:graphic>
          </wp:inline>
        </w:drawing>
      </w:r>
    </w:p>
    <w:p>
      <w:pPr>
        <w:jc w:val="center"/>
      </w:pPr>
      <w:r>
        <w:rPr>
          <w:i/>
          <w:sz w:val="18"/>
        </w:rPr>
        <w:t>Figura 10. Relación entre sma_5 y precio_futuro.</w:t>
      </w:r>
    </w:p>
    <w:p>
      <w:pPr>
        <w:jc w:val="center"/>
      </w:pPr>
      <w:r>
        <w:drawing>
          <wp:inline xmlns:a="http://schemas.openxmlformats.org/drawingml/2006/main" xmlns:pic="http://schemas.openxmlformats.org/drawingml/2006/picture">
            <wp:extent cx="5715000" cy="3751110"/>
            <wp:docPr id="11" name="Picture 11"/>
            <wp:cNvGraphicFramePr>
              <a:graphicFrameLocks noChangeAspect="1"/>
            </wp:cNvGraphicFramePr>
            <a:graphic>
              <a:graphicData uri="http://schemas.openxmlformats.org/drawingml/2006/picture">
                <pic:pic>
                  <pic:nvPicPr>
                    <pic:cNvPr id="0" name="11_scatter_volume.png"/>
                    <pic:cNvPicPr/>
                  </pic:nvPicPr>
                  <pic:blipFill>
                    <a:blip r:embed="rId20"/>
                    <a:stretch>
                      <a:fillRect/>
                    </a:stretch>
                  </pic:blipFill>
                  <pic:spPr>
                    <a:xfrm>
                      <a:off x="0" y="0"/>
                      <a:ext cx="5715000" cy="3751110"/>
                    </a:xfrm>
                    <a:prstGeom prst="rect"/>
                  </pic:spPr>
                </pic:pic>
              </a:graphicData>
            </a:graphic>
          </wp:inline>
        </w:drawing>
      </w:r>
    </w:p>
    <w:p>
      <w:pPr>
        <w:jc w:val="center"/>
      </w:pPr>
      <w:r>
        <w:rPr>
          <w:i/>
          <w:sz w:val="18"/>
        </w:rPr>
        <w:t>Figura 11. Relación entre volume y precio_futuro.</w:t>
      </w:r>
    </w:p>
    <w:p>
      <w:pPr>
        <w:spacing w:after="120"/>
        <w:jc w:val="both"/>
      </w:pPr>
      <w:r>
        <w:t>Las gráficas confirman visualmente la matriz de correlación. close, precio_anterior y sma_5 forman patrones ascendentes definidos. volume presenta una dirección inversa y una mayor dispersión. Esta revisión es importante porque permite observar la forma de la relación y no depender únicamente de un coeficiente numérico.</w:t>
      </w:r>
    </w:p>
    <w:p>
      <w:pPr>
        <w:pStyle w:val="Heading1"/>
      </w:pPr>
      <w:r>
        <w:t>10. Volatilidad y retorno</w:t>
      </w:r>
    </w:p>
    <w:p>
      <w:pPr>
        <w:jc w:val="center"/>
      </w:pPr>
      <w:r>
        <w:drawing>
          <wp:inline xmlns:a="http://schemas.openxmlformats.org/drawingml/2006/main" xmlns:pic="http://schemas.openxmlformats.org/drawingml/2006/picture">
            <wp:extent cx="5715000" cy="3753809"/>
            <wp:docPr id="12" name="Picture 12"/>
            <wp:cNvGraphicFramePr>
              <a:graphicFrameLocks noChangeAspect="1"/>
            </wp:cNvGraphicFramePr>
            <a:graphic>
              <a:graphicData uri="http://schemas.openxmlformats.org/drawingml/2006/picture">
                <pic:pic>
                  <pic:nvPicPr>
                    <pic:cNvPr id="0" name="12_volatilidad_retorno.png"/>
                    <pic:cNvPicPr/>
                  </pic:nvPicPr>
                  <pic:blipFill>
                    <a:blip r:embed="rId21"/>
                    <a:stretch>
                      <a:fillRect/>
                    </a:stretch>
                  </pic:blipFill>
                  <pic:spPr>
                    <a:xfrm>
                      <a:off x="0" y="0"/>
                      <a:ext cx="5715000" cy="3753809"/>
                    </a:xfrm>
                    <a:prstGeom prst="rect"/>
                  </pic:spPr>
                </pic:pic>
              </a:graphicData>
            </a:graphic>
          </wp:inline>
        </w:drawing>
      </w:r>
    </w:p>
    <w:p>
      <w:pPr>
        <w:jc w:val="center"/>
      </w:pPr>
      <w:r>
        <w:rPr>
          <w:i/>
          <w:sz w:val="18"/>
        </w:rPr>
        <w:t>Figura 12. Relación entre volatilidad de 5 días y retorno diario.</w:t>
      </w:r>
    </w:p>
    <w:p>
      <w:pPr>
        <w:spacing w:after="120"/>
        <w:jc w:val="both"/>
      </w:pPr>
      <w:r>
        <w:t>La comparación permite observar si los períodos de mayor inestabilidad coinciden con retornos más extremos. La volatilidad aporta información sobre el nivel de riesgo reciente, aunque su correlación con el precio futuro es menor y no permite determinar por sí sola la dirección del movimiento.</w:t>
      </w:r>
    </w:p>
    <w:p>
      <w:pPr>
        <w:pStyle w:val="Heading1"/>
      </w:pPr>
      <w:r>
        <w:t>11. Variables más relacionadas con el precio futuro</w:t>
      </w:r>
    </w:p>
    <w:p>
      <w:pPr>
        <w:spacing w:after="120"/>
        <w:jc w:val="both"/>
      </w:pPr>
      <w:r>
        <w:t>Las variables que parecen tener mayor capacidad para explicar el precio futuro son close, low, high, open, precio_anterior, sma_5 y sma_20. Todas representan el nivel reciente del precio o su tendencia. El retorno diario y la volatilidad muestran relaciones lineales más débiles, pero pueden aportar información sobre movimientos de corto plazo. El volumen y su promedio móvil muestran una relación negativa dentro del período analizado.</w:t>
      </w:r>
    </w:p>
    <w:p>
      <w:pPr>
        <w:pStyle w:val="Heading1"/>
      </w:pPr>
      <w:r>
        <w:t>12. Conclusiones</w:t>
      </w:r>
    </w:p>
    <w:p>
      <w:pPr>
        <w:spacing w:after="120"/>
        <w:jc w:val="both"/>
      </w:pPr>
      <w:r>
        <w:t>El EDA confirmó que el dataset se encuentra limpio, organizado y con más registros de los exigidos. Las variables de precio y las medias móviles presentan las relaciones más fuertes con la variable objetivo. Los valores extremos fueron conservados debido a que pueden representar eventos reales del mercado. En general, los resultados justifican continuar con las once características y evaluar mediante los modelos si estas relaciones se mantienen en datos de prueba.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