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Стандарт описания значений ТТХ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1) Калибр оружия как отдельная строка в таблице с ТТХ не выносится. Калибр указывается в заголовке статьи, например</w:t>
      </w:r>
    </w:p>
    <w:p w:rsidR="004F579A" w:rsidRPr="00D83725" w:rsidRDefault="004F579A" w:rsidP="004F579A">
      <w:pPr>
        <w:jc w:val="center"/>
        <w:rPr>
          <w:rFonts w:ascii="Arial Narrow" w:hAnsi="Arial Narrow"/>
          <w:b/>
          <w:sz w:val="28"/>
        </w:rPr>
      </w:pPr>
      <w:r w:rsidRPr="00D83725">
        <w:rPr>
          <w:rFonts w:ascii="Arial Narrow" w:hAnsi="Arial Narrow"/>
          <w:b/>
          <w:sz w:val="28"/>
        </w:rPr>
        <w:t>18,5-мм Карабин Специальный 18,5КС-К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Калибр 18,5КС-</w:t>
      </w:r>
      <w:proofErr w:type="gramStart"/>
      <w:r>
        <w:rPr>
          <w:rFonts w:ascii="Arial Narrow" w:hAnsi="Arial Narrow"/>
          <w:sz w:val="28"/>
        </w:rPr>
        <w:t>К</w:t>
      </w:r>
      <w:proofErr w:type="gramEnd"/>
      <w:r>
        <w:rPr>
          <w:rFonts w:ascii="Arial Narrow" w:hAnsi="Arial Narrow"/>
          <w:sz w:val="28"/>
        </w:rPr>
        <w:t xml:space="preserve"> указан в начале заголовка, но при этом карабин использует патрон 12х72, что указано в таблице ТТХ.</w:t>
      </w:r>
    </w:p>
    <w:p w:rsidR="004F579A" w:rsidRPr="00D83725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2) Правила использова</w:t>
      </w:r>
      <w:r w:rsidR="00D83725">
        <w:rPr>
          <w:rFonts w:ascii="Arial Narrow" w:hAnsi="Arial Narrow"/>
          <w:sz w:val="28"/>
        </w:rPr>
        <w:t>ния сокращений единиц измерений: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2.1) Для единиц измерений, представленных в СИ, не ставится в конце точка, говорящая о сокращении</w:t>
      </w:r>
      <w:r w:rsidR="00D83725">
        <w:rPr>
          <w:rFonts w:ascii="Arial Narrow" w:hAnsi="Arial Narrow"/>
          <w:sz w:val="28"/>
        </w:rPr>
        <w:t>, например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мм, м, мин, кг, г …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2.2) Вместо сокращения для единицы времени секунды «с», использовать сокращение «сек»</w:t>
      </w:r>
      <w:r w:rsidR="00D83725">
        <w:rPr>
          <w:rFonts w:ascii="Arial Narrow" w:hAnsi="Arial Narrow"/>
          <w:sz w:val="28"/>
        </w:rPr>
        <w:t>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сек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2.3) </w:t>
      </w:r>
      <w:r w:rsidR="00631CF2">
        <w:rPr>
          <w:rFonts w:ascii="Arial Narrow" w:hAnsi="Arial Narrow"/>
          <w:sz w:val="28"/>
        </w:rPr>
        <w:t>Для следующих слов, используемых при описании ТТХ, предусмотрены следующие сокращен</w:t>
      </w:r>
      <w:r w:rsidR="00D83725">
        <w:rPr>
          <w:rFonts w:ascii="Arial Narrow" w:hAnsi="Arial Narrow"/>
          <w:sz w:val="28"/>
        </w:rPr>
        <w:t>ия с точкой в конце сокращения, например</w:t>
      </w:r>
      <w:bookmarkStart w:id="0" w:name="_GoBack"/>
      <w:bookmarkEnd w:id="0"/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Выстрел (-</w:t>
      </w:r>
      <w:proofErr w:type="spellStart"/>
      <w:r>
        <w:rPr>
          <w:rFonts w:ascii="Arial Narrow" w:hAnsi="Arial Narrow"/>
          <w:sz w:val="28"/>
        </w:rPr>
        <w:t>ов</w:t>
      </w:r>
      <w:proofErr w:type="spellEnd"/>
      <w:r>
        <w:rPr>
          <w:rFonts w:ascii="Arial Narrow" w:hAnsi="Arial Narrow"/>
          <w:sz w:val="28"/>
        </w:rPr>
        <w:t xml:space="preserve">) – </w:t>
      </w:r>
      <w:proofErr w:type="spell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Патрон</w:t>
      </w:r>
      <w:r w:rsidR="00D83725">
        <w:rPr>
          <w:rFonts w:ascii="Arial Narrow" w:hAnsi="Arial Narrow"/>
          <w:sz w:val="28"/>
        </w:rPr>
        <w:t xml:space="preserve"> (-</w:t>
      </w:r>
      <w:proofErr w:type="spellStart"/>
      <w:r>
        <w:rPr>
          <w:rFonts w:ascii="Arial Narrow" w:hAnsi="Arial Narrow"/>
          <w:sz w:val="28"/>
        </w:rPr>
        <w:t>ов</w:t>
      </w:r>
      <w:proofErr w:type="spellEnd"/>
      <w:r w:rsidR="00D83725">
        <w:rPr>
          <w:rFonts w:ascii="Arial Narrow" w:hAnsi="Arial Narrow"/>
          <w:sz w:val="28"/>
        </w:rPr>
        <w:t>)</w:t>
      </w:r>
      <w:r>
        <w:rPr>
          <w:rFonts w:ascii="Arial Narrow" w:hAnsi="Arial Narrow"/>
          <w:sz w:val="28"/>
        </w:rPr>
        <w:t xml:space="preserve"> – </w:t>
      </w:r>
      <w:proofErr w:type="spellStart"/>
      <w:r>
        <w:rPr>
          <w:rFonts w:ascii="Arial Narrow" w:hAnsi="Arial Narrow"/>
          <w:sz w:val="28"/>
        </w:rPr>
        <w:t>патр</w:t>
      </w:r>
      <w:proofErr w:type="spellEnd"/>
      <w:r>
        <w:rPr>
          <w:rFonts w:ascii="Arial Narrow" w:hAnsi="Arial Narrow"/>
          <w:sz w:val="28"/>
        </w:rPr>
        <w:t xml:space="preserve">. 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3) Для написания десятичных дробных чисел используется пла</w:t>
      </w:r>
      <w:r w:rsidR="00D83725">
        <w:rPr>
          <w:rFonts w:ascii="Arial Narrow" w:hAnsi="Arial Narrow"/>
          <w:sz w:val="28"/>
        </w:rPr>
        <w:t>вающая запятая, а не точка. Точк</w:t>
      </w:r>
      <w:r>
        <w:rPr>
          <w:rFonts w:ascii="Arial Narrow" w:hAnsi="Arial Narrow"/>
          <w:sz w:val="28"/>
        </w:rPr>
        <w:t>о</w:t>
      </w:r>
      <w:r w:rsidR="00D83725">
        <w:rPr>
          <w:rFonts w:ascii="Arial Narrow" w:hAnsi="Arial Narrow"/>
          <w:sz w:val="28"/>
        </w:rPr>
        <w:t>й можно разделять порядки чисел</w:t>
      </w:r>
      <w:r>
        <w:rPr>
          <w:rFonts w:ascii="Arial Narrow" w:hAnsi="Arial Narrow"/>
          <w:sz w:val="28"/>
        </w:rPr>
        <w:t>, если в этом есть необходимость (для чи</w:t>
      </w:r>
      <w:r w:rsidR="00D83725">
        <w:rPr>
          <w:rFonts w:ascii="Arial Narrow" w:hAnsi="Arial Narrow"/>
          <w:sz w:val="28"/>
        </w:rPr>
        <w:t>сел более, либо равных 100.000), например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Масса тела пулемёта 7,5 кг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… живучесть ствола сос</w:t>
      </w:r>
      <w:r w:rsidR="007079C8">
        <w:rPr>
          <w:rFonts w:ascii="Arial Narrow" w:hAnsi="Arial Narrow"/>
          <w:sz w:val="28"/>
        </w:rPr>
        <w:t>тавляет 100.000 выстр.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4) Для указания промежутков в значениях ТТХ используется дефис, разделённый от чисел пробелами. Внимательно наблюдайте, чт</w:t>
      </w:r>
      <w:r w:rsidR="00D83725">
        <w:rPr>
          <w:rFonts w:ascii="Arial Narrow" w:hAnsi="Arial Narrow"/>
          <w:sz w:val="28"/>
        </w:rPr>
        <w:t>обы дефис не превращался в тире, например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Темп стрельбы пулемёта 800 - 900 </w:t>
      </w:r>
      <w:proofErr w:type="spellStart"/>
      <w:proofErr w:type="gram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./</w:t>
      </w:r>
      <w:proofErr w:type="gramEnd"/>
      <w:r>
        <w:rPr>
          <w:rFonts w:ascii="Arial Narrow" w:hAnsi="Arial Narrow"/>
          <w:sz w:val="28"/>
        </w:rPr>
        <w:t>мин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5) Для указания примерных значений использовать символ «≈»</w:t>
      </w:r>
      <w:r w:rsidR="00D83725">
        <w:rPr>
          <w:rFonts w:ascii="Arial Narrow" w:hAnsi="Arial Narrow"/>
          <w:sz w:val="28"/>
        </w:rPr>
        <w:t>, который разделён от числа пробелом, например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Длина пулемёта ≈ 1100 мм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6) Для указания предельных значений использовать предлог «до»</w:t>
      </w:r>
      <w:r w:rsidR="00D83725">
        <w:rPr>
          <w:rFonts w:ascii="Arial Narrow" w:hAnsi="Arial Narrow"/>
          <w:sz w:val="28"/>
        </w:rPr>
        <w:t>, который пишется с маленькой буквы в ТТХ, например</w:t>
      </w:r>
    </w:p>
    <w:p w:rsidR="00631CF2" w:rsidRPr="004F579A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Эффективная дальность до 600 м</w:t>
      </w:r>
    </w:p>
    <w:sectPr w:rsidR="00631CF2" w:rsidRPr="004F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E"/>
    <w:rsid w:val="003607BD"/>
    <w:rsid w:val="003B749E"/>
    <w:rsid w:val="003F1B15"/>
    <w:rsid w:val="004F579A"/>
    <w:rsid w:val="00631CF2"/>
    <w:rsid w:val="007079C8"/>
    <w:rsid w:val="00AD3DAE"/>
    <w:rsid w:val="00D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A9C7"/>
  <w15:chartTrackingRefBased/>
  <w15:docId w15:val="{C7F6C404-777A-4608-A7AF-0EC43EE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2024-07-15T11:03:00Z</dcterms:created>
  <dcterms:modified xsi:type="dcterms:W3CDTF">2024-12-07T07:34:00Z</dcterms:modified>
</cp:coreProperties>
</file>