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200"/>
              <w:left w:type="dxa" w:w="240"/>
              <w:bottom w:type="dxa" w:w="40"/>
              <w:right w:type="dxa" w:w="240"/>
            </w:tcMar>
          </w:tcPr>
          <w:p>
            <w:pPr>
              <w:jc w:val="center"/>
            </w:pPr>
            <w:r>
              <w:rPr>
                <w:rFonts w:ascii="Arial" w:cs="Arial" w:eastAsia="Arial" w:hAnsi="Arial"/>
                <w:b/>
                <w:bCs/>
                <w:color w:val="FFFFFF"/>
                <w:sz w:val="40"/>
                <w:szCs w:val="40"/>
              </w:rPr>
              <w:t xml:space="preserve">INTELUX SYSTEMS, INC.</w:t>
            </w:r>
          </w:p>
        </w:tc>
      </w:tr>
      <w:tr>
        <w:tc>
          <w:tcPr>
            <w:tcW w:type="dxa" w:w="9360"/>
            <w:tcBorders>
              <w:top w:val="none" w:color="FFFFFF" w:sz="0"/>
              <w:left w:val="none" w:color="FFFFFF" w:sz="0"/>
              <w:bottom w:val="none" w:color="FFFFFF" w:sz="0"/>
              <w:right w:val="none" w:color="FFFFFF" w:sz="0"/>
            </w:tcBorders>
            <w:shd w:fill="1C1C2E" w:val="clear"/>
            <w:tcMar>
              <w:top w:type="dxa" w:w="0"/>
              <w:left w:type="dxa" w:w="240"/>
              <w:bottom w:type="dxa" w:w="40"/>
              <w:right w:type="dxa" w:w="240"/>
            </w:tcMar>
          </w:tcPr>
          <w:p>
            <w:pPr>
              <w:jc w:val="center"/>
            </w:pPr>
            <w:r>
              <w:rPr>
                <w:rFonts w:ascii="Arial" w:cs="Arial" w:eastAsia="Arial" w:hAnsi="Arial"/>
                <w:color w:val="AAAAAA"/>
                <w:sz w:val="22"/>
                <w:szCs w:val="22"/>
              </w:rPr>
              <w:t xml:space="preserve">Security Operations Center  —  Red Team Division</w:t>
            </w:r>
          </w:p>
        </w:tc>
      </w:tr>
      <w:tr>
        <w:tc>
          <w:tcPr>
            <w:tcW w:type="dxa" w:w="9360"/>
            <w:tcBorders>
              <w:top w:val="none" w:color="FFFFFF" w:sz="0"/>
              <w:left w:val="none" w:color="FFFFFF" w:sz="0"/>
              <w:bottom w:val="none" w:color="FFFFFF" w:sz="0"/>
              <w:right w:val="none" w:color="FFFFFF" w:sz="0"/>
            </w:tcBorders>
            <w:shd w:fill="D4A017" w:val="clear"/>
            <w:tcMar>
              <w:top w:type="dxa" w:w="120"/>
              <w:left w:type="dxa" w:w="240"/>
              <w:bottom w:type="dxa" w:w="120"/>
              <w:right w:type="dxa" w:w="240"/>
            </w:tcMar>
          </w:tcPr>
          <w:p>
            <w:pPr>
              <w:jc w:val="center"/>
            </w:pPr>
            <w:r>
              <w:rPr>
                <w:rFonts w:ascii="Arial" w:cs="Arial" w:eastAsia="Arial" w:hAnsi="Arial"/>
                <w:b/>
                <w:bCs/>
                <w:color w:val="1C1C2E"/>
                <w:sz w:val="36"/>
                <w:szCs w:val="36"/>
              </w:rPr>
              <w:t xml:space="preserve">RED TEAM RULES OF ENGAGEMENT</w:t>
            </w:r>
          </w:p>
        </w:tc>
      </w:tr>
      <w:tr>
        <w:tc>
          <w:tcPr>
            <w:tcW w:type="dxa" w:w="9360"/>
            <w:tcBorders>
              <w:top w:val="none" w:color="FFFFFF" w:sz="0"/>
              <w:left w:val="none" w:color="FFFFFF" w:sz="0"/>
              <w:bottom w:val="none" w:color="FFFFFF" w:sz="0"/>
              <w:right w:val="none" w:color="FFFFFF" w:sz="0"/>
            </w:tcBorders>
            <w:shd w:fill="2E3250" w:val="clear"/>
            <w:tcMar>
              <w:top w:type="dxa" w:w="80"/>
              <w:left w:type="dxa" w:w="240"/>
              <w:bottom w:type="dxa" w:w="80"/>
              <w:right w:type="dxa" w:w="240"/>
            </w:tcMar>
          </w:tcPr>
          <w:p>
            <w:pPr>
              <w:jc w:val="center"/>
            </w:pPr>
            <w:r>
              <w:rPr>
                <w:rFonts w:ascii="Arial" w:cs="Arial" w:eastAsia="Arial" w:hAnsi="Arial"/>
                <w:color w:val="CCCCCC"/>
                <w:sz w:val="20"/>
                <w:szCs w:val="20"/>
              </w:rPr>
              <w:t xml:space="preserve">Kill Chain A  |  INTELUX-ROE-002  |  May 2026</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ID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INTELUX-ROE-002</w:t>
            </w:r>
          </w:p>
        </w:tc>
      </w:tr>
      <w:tr>
        <w:tc>
          <w:tcPr>
            <w:tcW w:type="dxa" w:w="252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w:t>
            </w:r>
          </w:p>
        </w:tc>
      </w:tr>
      <w:tr>
        <w:tc>
          <w:tcPr>
            <w:tcW w:type="dxa" w:w="252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May 18, 2026</w:t>
            </w:r>
          </w:p>
        </w:tc>
      </w:tr>
      <w:tr>
        <w:tc>
          <w:tcPr>
            <w:tcW w:type="dxa" w:w="252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Supersedes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INTELUX-ROE-001 (April 2026) — retired, home side topology no longer active</w:t>
            </w:r>
          </w:p>
        </w:tc>
      </w:tr>
      <w:tr>
        <w:tc>
          <w:tcPr>
            <w:tcW w:type="dxa" w:w="252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Author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Raynard A. Porter — INTELUX Systems</w:t>
            </w:r>
          </w:p>
        </w:tc>
      </w:tr>
      <w:tr>
        <w:tc>
          <w:tcPr>
            <w:tcW w:type="dxa" w:w="252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Final</w:t>
            </w:r>
          </w:p>
        </w:tc>
      </w:tr>
      <w:tr>
        <w:tc>
          <w:tcPr>
            <w:tcW w:type="dxa" w:w="252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Internal Use Only — Confidential</w:t>
            </w:r>
          </w:p>
        </w:tc>
      </w:tr>
      <w:tr>
        <w:tc>
          <w:tcPr>
            <w:tcW w:type="dxa" w:w="252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Retention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 Years</w:t>
            </w:r>
          </w:p>
        </w:tc>
      </w:tr>
      <w:tr>
        <w:tc>
          <w:tcPr>
            <w:tcW w:type="dxa" w:w="252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Next Review</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Q4 2026</w:t>
            </w:r>
          </w:p>
        </w:tc>
      </w:tr>
    </w:tbl>
    <w:p>
      <w:pPr>
        <w:spacing w:after="80" w:before="80"/>
      </w:pPr>
    </w:p>
    <w:p>
      <w:pPr>
        <w:spacing w:after="80" w:before="80"/>
      </w:pPr>
    </w:p>
    <w:p>
      <w:pPr>
        <w:pBdr>
          <w:bottom w:val="single" w:color="D4A017" w:sz="6" w:space="1"/>
        </w:pBdr>
        <w:spacing w:after="120" w:before="320"/>
      </w:pPr>
      <w:r>
        <w:rPr>
          <w:rFonts w:ascii="Arial" w:cs="Arial" w:eastAsia="Arial" w:hAnsi="Arial"/>
          <w:b/>
          <w:bCs/>
          <w:color w:val="D4A017"/>
          <w:sz w:val="28"/>
          <w:szCs w:val="28"/>
        </w:rPr>
        <w:t xml:space="preserve">1.  PURPOSE &amp; SCOPE</w:t>
      </w:r>
    </w:p>
    <w:p>
      <w:pPr>
        <w:spacing w:after="80" w:before="80"/>
      </w:pPr>
    </w:p>
    <w:p>
      <w:pPr>
        <w:spacing w:after="60" w:before="60"/>
      </w:pPr>
      <w:r>
        <w:rPr>
          <w:rFonts w:ascii="Arial" w:cs="Arial" w:eastAsia="Arial" w:hAnsi="Arial"/>
          <w:b w:val="false"/>
          <w:bCs w:val="false"/>
          <w:color w:val="000000"/>
          <w:sz w:val="20"/>
          <w:szCs w:val="20"/>
        </w:rPr>
        <w:t xml:space="preserve">This document establishes the authorized rules of engagement (ROE) for all red team exercises conducted within the INTELUX Systems, Inc. mini rack homelab environment. All personnel conducting offensive security activities must read, understand, and comply with this document before commencing any exercise.</w:t>
      </w:r>
    </w:p>
    <w:p>
      <w:pPr>
        <w:spacing w:after="80" w:before="80"/>
      </w:pPr>
    </w:p>
    <w:p>
      <w:pPr>
        <w:spacing w:after="60" w:before="60"/>
      </w:pPr>
      <w:r>
        <w:rPr>
          <w:rFonts w:ascii="Arial" w:cs="Arial" w:eastAsia="Arial" w:hAnsi="Arial"/>
          <w:b w:val="false"/>
          <w:bCs w:val="false"/>
          <w:color w:val="000000"/>
          <w:sz w:val="20"/>
          <w:szCs w:val="20"/>
        </w:rPr>
        <w:t xml:space="preserve">This ROE supersedes INTELUX-ROE-001 (April 2026). ROE-001 referenced a home side cluster topology (HV-01, CL-01, FTR-01, PORTAL VLAN) that is no longer active. This document is scoped exclusively to the mini rack environment (10.100.x.x).</w:t>
      </w:r>
    </w:p>
    <w:p>
      <w:pPr>
        <w:spacing w:after="80" w:before="80"/>
      </w:pPr>
    </w:p>
    <w:p>
      <w:pPr>
        <w:spacing w:after="60" w:before="60"/>
      </w:pPr>
      <w:r>
        <w:rPr>
          <w:rFonts w:ascii="Arial" w:cs="Arial" w:eastAsia="Arial" w:hAnsi="Arial"/>
          <w:b w:val="false"/>
          <w:bCs w:val="false"/>
          <w:color w:val="000000"/>
          <w:sz w:val="20"/>
          <w:szCs w:val="20"/>
        </w:rPr>
        <w:t xml:space="preserve">This ROE governs one active exercise:</w:t>
      </w:r>
    </w:p>
    <w:p>
      <w:pPr>
        <w:pStyle w:val="ListParagraph"/>
        <w:numPr>
          <w:ilvl w:val="0"/>
          <w:numId w:val="2"/>
        </w:numPr>
        <w:spacing w:after="40" w:before="40"/>
      </w:pPr>
      <w:r>
        <w:rPr>
          <w:rFonts w:ascii="Arial" w:cs="Arial" w:eastAsia="Arial" w:hAnsi="Arial"/>
          <w:sz w:val="20"/>
          <w:szCs w:val="20"/>
        </w:rPr>
        <w:t xml:space="preserve">Kill Chain A — Insider Threat / Initial Access through Lateral Movement (KLI-01 → WKS-03 via RDP, privilege escalation, credential dumping, lateral movement to DC-01, persistence)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56404"/>
                <w:sz w:val="20"/>
                <w:szCs w:val="20"/>
              </w:rPr>
              <w:t xml:space="preserve">⚠  Any activity outside the scope defined in this document is UNAUTHORIZED and must stop immediately.</w:t>
            </w:r>
          </w:p>
        </w:tc>
      </w:tr>
    </w:tbl>
    <w:p>
      <w:pPr>
        <w:spacing w:after="80" w:before="80"/>
      </w:pPr>
    </w:p>
    <w:p>
      <w:pPr>
        <w:spacing w:after="80" w:before="80"/>
      </w:pPr>
    </w:p>
    <w:p>
      <w:pPr>
        <w:pBdr>
          <w:bottom w:val="single" w:color="D4A017" w:sz="6" w:space="1"/>
        </w:pBdr>
        <w:spacing w:after="120" w:before="320"/>
      </w:pPr>
      <w:r>
        <w:rPr>
          <w:rFonts w:ascii="Arial" w:cs="Arial" w:eastAsia="Arial" w:hAnsi="Arial"/>
          <w:b/>
          <w:bCs/>
          <w:color w:val="D4A017"/>
          <w:sz w:val="28"/>
          <w:szCs w:val="28"/>
        </w:rPr>
        <w:t xml:space="preserve">2.  AUTHORIZATION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Authorized By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Raynard A. Porter — INTELUX Systems Administrator</w:t>
            </w:r>
          </w:p>
        </w:tc>
      </w:tr>
      <w:tr>
        <w:tc>
          <w:tcPr>
            <w:tcW w:type="dxa" w:w="252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Operator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Raynard A. Porter — Red Team Operator</w:t>
            </w:r>
          </w:p>
        </w:tc>
      </w:tr>
      <w:tr>
        <w:tc>
          <w:tcPr>
            <w:tcW w:type="dxa" w:w="252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Attack Platform</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INTELUX-KLI-01 (Kali Linux, VM 201 on RED-01, 10.100.40.24)</w:t>
            </w:r>
          </w:p>
        </w:tc>
      </w:tr>
      <w:tr>
        <w:tc>
          <w:tcPr>
            <w:tcW w:type="dxa" w:w="252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Authorization Date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May 18, 2026</w:t>
            </w:r>
          </w:p>
        </w:tc>
      </w:tr>
      <w:tr>
        <w:tc>
          <w:tcPr>
            <w:tcW w:type="dxa" w:w="252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Exercise Window</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May 2026 — ongoing until Kill Chain A fully documented and closed</w:t>
            </w:r>
          </w:p>
        </w:tc>
      </w:tr>
      <w:tr>
        <w:tc>
          <w:tcPr>
            <w:tcW w:type="dxa" w:w="252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Environment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INTELUX mini rack — isolated lab network only (10.100.0.0/16)</w:t>
            </w:r>
          </w:p>
        </w:tc>
      </w:tr>
    </w:tbl>
    <w:p>
      <w:pPr>
        <w:spacing w:after="80" w:before="80"/>
      </w:pPr>
    </w:p>
    <w:p>
      <w:pPr>
        <w:spacing w:after="80" w:before="80"/>
      </w:pPr>
    </w:p>
    <w:p>
      <w:pPr>
        <w:pBdr>
          <w:bottom w:val="single" w:color="D4A017" w:sz="6" w:space="1"/>
        </w:pBdr>
        <w:spacing w:after="120" w:before="320"/>
      </w:pPr>
      <w:r>
        <w:rPr>
          <w:rFonts w:ascii="Arial" w:cs="Arial" w:eastAsia="Arial" w:hAnsi="Arial"/>
          <w:b/>
          <w:bCs/>
          <w:color w:val="D4A017"/>
          <w:sz w:val="28"/>
          <w:szCs w:val="28"/>
        </w:rPr>
        <w:t xml:space="preserve">3.  NETWORK TOPOLOGY — MINI RACK</w:t>
      </w:r>
    </w:p>
    <w:p>
      <w:pPr>
        <w:spacing w:after="80" w:before="80"/>
      </w:pPr>
    </w:p>
    <w:p>
      <w:pPr>
        <w:spacing w:after="80" w:before="200"/>
      </w:pPr>
      <w:r>
        <w:rPr>
          <w:rFonts w:ascii="Arial" w:cs="Arial" w:eastAsia="Arial" w:hAnsi="Arial"/>
          <w:b/>
          <w:bCs/>
          <w:color w:val="1C1C2E"/>
          <w:sz w:val="22"/>
          <w:szCs w:val="22"/>
        </w:rPr>
        <w:t xml:space="preserve">3.1  Physical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1440"/>
        <w:gridCol w:w="3960"/>
      </w:tblGrid>
      <w:tr>
        <w:tc>
          <w:tcPr>
            <w:tcW w:type="dxa" w:w="180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Host</w:t>
            </w:r>
          </w:p>
        </w:tc>
        <w:tc>
          <w:tcPr>
            <w:tcW w:type="dxa" w:w="216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Hardware</w:t>
            </w:r>
          </w:p>
        </w:tc>
        <w:tc>
          <w:tcPr>
            <w:tcW w:type="dxa" w:w="144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IP</w:t>
            </w:r>
          </w:p>
        </w:tc>
        <w:tc>
          <w:tcPr>
            <w:tcW w:type="dxa" w:w="396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FW-01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M900 / pfSense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192.168.1.133 (WAN)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Core firewall, VLAN routing, WAN gateway</w:t>
            </w:r>
          </w:p>
        </w:tc>
      </w:tr>
      <w:tr>
        <w:tc>
          <w:tcPr>
            <w:tcW w:type="dxa" w:w="18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SW-01</w:t>
            </w:r>
          </w:p>
        </w:tc>
        <w:tc>
          <w:tcPr>
            <w:tcW w:type="dxa" w:w="21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Netgear GS308E</w:t>
            </w:r>
          </w:p>
        </w:tc>
        <w:tc>
          <w:tcPr>
            <w:tcW w:type="dxa" w:w="144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39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Managed switch, VLAN trunk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ADM-01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AceMagic / Win10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10.100.10.50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21C24"/>
                <w:sz w:val="18"/>
                <w:szCs w:val="18"/>
              </w:rPr>
              <w:t xml:space="preserve">Management workstation — OUT OF SCOPE</w:t>
            </w:r>
          </w:p>
        </w:tc>
      </w:tr>
      <w:tr>
        <w:tc>
          <w:tcPr>
            <w:tcW w:type="dxa" w:w="18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BLU-01</w:t>
            </w:r>
          </w:p>
        </w:tc>
        <w:tc>
          <w:tcPr>
            <w:tcW w:type="dxa" w:w="21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M900 / Proxmox</w:t>
            </w:r>
          </w:p>
        </w:tc>
        <w:tc>
          <w:tcPr>
            <w:tcW w:type="dxa" w:w="144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10.100.30.11</w:t>
            </w:r>
          </w:p>
        </w:tc>
        <w:tc>
          <w:tcPr>
            <w:tcW w:type="dxa" w:w="39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Blue team hypervisor (hosts SVC-01, DC-01)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BLU-02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M900 / Proxmox</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10.100.30.12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Blue team hypervisor (hosts WKS-03)</w:t>
            </w:r>
          </w:p>
        </w:tc>
      </w:tr>
      <w:tr>
        <w:tc>
          <w:tcPr>
            <w:tcW w:type="dxa" w:w="18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BLU-03</w:t>
            </w:r>
          </w:p>
        </w:tc>
        <w:tc>
          <w:tcPr>
            <w:tcW w:type="dxa" w:w="21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M900 / Proxmox</w:t>
            </w:r>
          </w:p>
        </w:tc>
        <w:tc>
          <w:tcPr>
            <w:tcW w:type="dxa" w:w="144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10.100.30.13</w:t>
            </w:r>
          </w:p>
        </w:tc>
        <w:tc>
          <w:tcPr>
            <w:tcW w:type="dxa" w:w="39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Blue team hypervisor (hosts WKS-04)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RED-01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M920q / Proxmox</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10.100.40.21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 team hypervisor (hosts KLI-01) — attack origin</w:t>
            </w:r>
          </w:p>
        </w:tc>
      </w:tr>
      <w:tr>
        <w:tc>
          <w:tcPr>
            <w:tcW w:type="dxa" w:w="18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RED-02</w:t>
            </w:r>
          </w:p>
        </w:tc>
        <w:tc>
          <w:tcPr>
            <w:tcW w:type="dxa" w:w="21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M900 / Proxmox</w:t>
            </w:r>
          </w:p>
        </w:tc>
        <w:tc>
          <w:tcPr>
            <w:tcW w:type="dxa" w:w="144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10.100.40.22</w:t>
            </w:r>
          </w:p>
        </w:tc>
        <w:tc>
          <w:tcPr>
            <w:tcW w:type="dxa" w:w="39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 team hypervisor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RED-03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M900 / Proxmox</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10.100.40.23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 team hypervisor</w:t>
            </w:r>
          </w:p>
        </w:tc>
      </w:tr>
    </w:tbl>
    <w:p>
      <w:pPr>
        <w:spacing w:after="80" w:before="80"/>
      </w:pPr>
    </w:p>
    <w:p>
      <w:pPr>
        <w:spacing w:after="80" w:before="200"/>
      </w:pPr>
      <w:r>
        <w:rPr>
          <w:rFonts w:ascii="Arial" w:cs="Arial" w:eastAsia="Arial" w:hAnsi="Arial"/>
          <w:b/>
          <w:bCs/>
          <w:color w:val="1C1C2E"/>
          <w:sz w:val="22"/>
          <w:szCs w:val="22"/>
        </w:rPr>
        <w:t xml:space="preserve">3.2  VLAN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080"/>
        <w:gridCol w:w="2160"/>
        <w:gridCol w:w="4680"/>
      </w:tblGrid>
      <w:tr>
        <w:tc>
          <w:tcPr>
            <w:tcW w:type="dxa" w:w="144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VLAN Name</w:t>
            </w:r>
          </w:p>
        </w:tc>
        <w:tc>
          <w:tcPr>
            <w:tcW w:type="dxa" w:w="108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216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Subnet</w:t>
            </w:r>
          </w:p>
        </w:tc>
        <w:tc>
          <w:tcPr>
            <w:tcW w:type="dxa" w:w="468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Hosts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MGMT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10.100.10.0/24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ADM-01 (10.100.10.50)</w:t>
            </w:r>
          </w:p>
        </w:tc>
      </w:tr>
      <w:tr>
        <w:tc>
          <w:tcPr>
            <w:tcW w:type="dxa" w:w="144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SERVICES</w:t>
            </w:r>
          </w:p>
        </w:tc>
        <w:tc>
          <w:tcPr>
            <w:tcW w:type="dxa" w:w="108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w:t>
            </w:r>
          </w:p>
        </w:tc>
        <w:tc>
          <w:tcPr>
            <w:tcW w:type="dxa" w:w="21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10.100.20.0/24</w:t>
            </w:r>
          </w:p>
        </w:tc>
        <w:tc>
          <w:tcPr>
            <w:tcW w:type="dxa" w:w="468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SVC-01 / Wazuh (10.100.20.101)</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BLUE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10.100.30.0/24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DC-01 (10.100.30.10), WKS-03 (10.100.30.20), WKS-04 (10.100.30.21)</w:t>
            </w:r>
          </w:p>
        </w:tc>
      </w:tr>
      <w:tr>
        <w:tc>
          <w:tcPr>
            <w:tcW w:type="dxa" w:w="144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c>
          <w:tcPr>
            <w:tcW w:type="dxa" w:w="108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40</w:t>
            </w:r>
          </w:p>
        </w:tc>
        <w:tc>
          <w:tcPr>
            <w:tcW w:type="dxa" w:w="21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10.100.40.0/24</w:t>
            </w:r>
          </w:p>
        </w:tc>
        <w:tc>
          <w:tcPr>
            <w:tcW w:type="dxa" w:w="468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KLI-01 (10.100.40.24), RED-01/02/03 nodes</w:t>
            </w:r>
          </w:p>
        </w:tc>
      </w:tr>
    </w:tbl>
    <w:p>
      <w:pPr>
        <w:spacing w:after="80" w:before="80"/>
      </w:pPr>
    </w:p>
    <w:p>
      <w:pPr>
        <w:spacing w:after="80" w:before="200"/>
      </w:pPr>
      <w:r>
        <w:rPr>
          <w:rFonts w:ascii="Arial" w:cs="Arial" w:eastAsia="Arial" w:hAnsi="Arial"/>
          <w:b/>
          <w:bCs/>
          <w:color w:val="1C1C2E"/>
          <w:sz w:val="22"/>
          <w:szCs w:val="22"/>
        </w:rPr>
        <w:t xml:space="preserve">3.3  Wazuh SIEM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Host</w:t>
            </w:r>
          </w:p>
        </w:tc>
        <w:tc>
          <w:tcPr>
            <w:tcW w:type="dxa" w:w="684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SVC-01</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VM 100 on BLU-01 — Wazuh v4.14.5 single-node, https://10.100.20.101:443</w:t>
            </w:r>
          </w:p>
        </w:tc>
      </w:tr>
      <w:tr>
        <w:tc>
          <w:tcPr>
            <w:tcW w:type="dxa" w:w="252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Enrolled Agents</w:t>
            </w:r>
          </w:p>
        </w:tc>
        <w:tc>
          <w:tcPr>
            <w:tcW w:type="dxa" w:w="684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BLU-01/02/03, ADM-01, RED-01/02/03, DC-01, WKS-03, WKS-04 (10 agents total)</w:t>
            </w:r>
          </w:p>
        </w:tc>
      </w:tr>
    </w:tbl>
    <w:p>
      <w:pPr>
        <w:spacing w:after="80" w:before="80"/>
      </w:pPr>
    </w:p>
    <w:p>
      <w:pPr>
        <w:spacing w:after="80" w:before="80"/>
      </w:pPr>
    </w:p>
    <w:p>
      <w:pPr>
        <w:pBdr>
          <w:bottom w:val="single" w:color="D4A017" w:sz="6" w:space="1"/>
        </w:pBdr>
        <w:spacing w:after="120" w:before="320"/>
      </w:pPr>
      <w:r>
        <w:rPr>
          <w:rFonts w:ascii="Arial" w:cs="Arial" w:eastAsia="Arial" w:hAnsi="Arial"/>
          <w:b/>
          <w:bCs/>
          <w:color w:val="D4A017"/>
          <w:sz w:val="28"/>
          <w:szCs w:val="28"/>
        </w:rPr>
        <w:t xml:space="preserve">4.  AUTHORIZED TARGETS</w:t>
      </w:r>
    </w:p>
    <w:p>
      <w:pPr>
        <w:spacing w:after="80" w:before="80"/>
      </w:pPr>
    </w:p>
    <w:p>
      <w:pPr>
        <w:spacing w:after="60" w:before="60"/>
      </w:pPr>
      <w:r>
        <w:rPr>
          <w:rFonts w:ascii="Arial" w:cs="Arial" w:eastAsia="Arial" w:hAnsi="Arial"/>
          <w:b w:val="false"/>
          <w:bCs w:val="false"/>
          <w:color w:val="000000"/>
          <w:sz w:val="20"/>
          <w:szCs w:val="20"/>
        </w:rPr>
        <w:t xml:space="preserve">The following systems are explicitly authorized for offensive activity under Kill Chain 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1440"/>
        <w:gridCol w:w="1260"/>
        <w:gridCol w:w="1260"/>
        <w:gridCol w:w="3780"/>
      </w:tblGrid>
      <w:tr>
        <w:tc>
          <w:tcPr>
            <w:tcW w:type="dxa" w:w="162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INTELUX Name</w:t>
            </w:r>
          </w:p>
        </w:tc>
        <w:tc>
          <w:tcPr>
            <w:tcW w:type="dxa" w:w="144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IP</w:t>
            </w:r>
          </w:p>
        </w:tc>
        <w:tc>
          <w:tcPr>
            <w:tcW w:type="dxa" w:w="126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VLAN</w:t>
            </w:r>
          </w:p>
        </w:tc>
        <w:tc>
          <w:tcPr>
            <w:tcW w:type="dxa" w:w="126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Kill Chain</w:t>
            </w:r>
          </w:p>
        </w:tc>
        <w:tc>
          <w:tcPr>
            <w:tcW w:type="dxa" w:w="378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Authorized Activity</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INTELUX-WKS-03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10.100.30.20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BLUE (30)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Kill Chain A</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RDP access, FIM, persistence, privilege escalation, credential dumping</w:t>
            </w:r>
          </w:p>
        </w:tc>
      </w:tr>
      <w:tr>
        <w:tc>
          <w:tcPr>
            <w:tcW w:type="dxa" w:w="162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INTELUX-WKS-04</w:t>
            </w:r>
          </w:p>
        </w:tc>
        <w:tc>
          <w:tcPr>
            <w:tcW w:type="dxa" w:w="144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10.100.30.21</w:t>
            </w:r>
          </w:p>
        </w:tc>
        <w:tc>
          <w:tcPr>
            <w:tcW w:type="dxa" w:w="12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BLUE (30)</w:t>
            </w:r>
          </w:p>
        </w:tc>
        <w:tc>
          <w:tcPr>
            <w:tcW w:type="dxa" w:w="12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Kill Chain A</w:t>
            </w:r>
          </w:p>
        </w:tc>
        <w:tc>
          <w:tcPr>
            <w:tcW w:type="dxa" w:w="378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RDP access, FIM, persistence, privilege escalation, credential dumping</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INTELUX-DC-01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10.100.30.10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BLUE (30)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Kill Chain A</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Domain enumeration, lateral movement target (pass-the-hash) — NO destructive changes</w:t>
            </w:r>
          </w:p>
        </w:tc>
      </w:tr>
    </w:tbl>
    <w:p>
      <w:pPr>
        <w:spacing w:after="80" w:before="80"/>
      </w:pPr>
    </w:p>
    <w:p>
      <w:pPr>
        <w:spacing w:after="60" w:before="60"/>
      </w:pPr>
      <w:r>
        <w:rPr>
          <w:rFonts w:ascii="Arial" w:cs="Arial" w:eastAsia="Arial" w:hAnsi="Arial"/>
          <w:b w:val="false"/>
          <w:bCs w:val="false"/>
          <w:color w:val="000000"/>
          <w:sz w:val="20"/>
          <w:szCs w:val="20"/>
        </w:rPr>
        <w:t xml:space="preserve">Attack origin: INTELUX-KLI-01 (10.100.40.24) on VLAN RED (40). All attack traffic must originate from KLI-01 only.</w:t>
      </w:r>
    </w:p>
    <w:p>
      <w:pPr>
        <w:spacing w:after="80" w:before="80"/>
      </w:pPr>
    </w:p>
    <w:p>
      <w:pPr>
        <w:spacing w:after="80" w:before="80"/>
      </w:pPr>
    </w:p>
    <w:p>
      <w:pPr>
        <w:pBdr>
          <w:bottom w:val="single" w:color="D4A017" w:sz="6" w:space="1"/>
        </w:pBdr>
        <w:spacing w:after="120" w:before="320"/>
      </w:pPr>
      <w:r>
        <w:rPr>
          <w:rFonts w:ascii="Arial" w:cs="Arial" w:eastAsia="Arial" w:hAnsi="Arial"/>
          <w:b/>
          <w:bCs/>
          <w:color w:val="D4A017"/>
          <w:sz w:val="28"/>
          <w:szCs w:val="28"/>
        </w:rPr>
        <w:t xml:space="preserve">5.  OUT OF SCOPE — STRICTLY PROHIBITED</w:t>
      </w:r>
    </w:p>
    <w:p>
      <w:pPr>
        <w:spacing w:after="80" w:before="80"/>
      </w:pPr>
    </w:p>
    <w:p>
      <w:pPr>
        <w:spacing w:after="60" w:before="60"/>
      </w:pPr>
      <w:r>
        <w:rPr>
          <w:rFonts w:ascii="Arial" w:cs="Arial" w:eastAsia="Arial" w:hAnsi="Arial"/>
          <w:b w:val="false"/>
          <w:bCs w:val="false"/>
          <w:color w:val="000000"/>
          <w:sz w:val="20"/>
          <w:szCs w:val="20"/>
        </w:rPr>
        <w:t xml:space="preserve">The following systems must NEVER be targeted, touched, or used as pivot points under any circumstances: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1440"/>
        <w:gridCol w:w="6300"/>
      </w:tblGrid>
      <w:tr>
        <w:tc>
          <w:tcPr>
            <w:tcW w:type="dxa" w:w="162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INTELUX Name</w:t>
            </w:r>
          </w:p>
        </w:tc>
        <w:tc>
          <w:tcPr>
            <w:tcW w:type="dxa" w:w="144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IP</w:t>
            </w:r>
          </w:p>
        </w:tc>
        <w:tc>
          <w:tcPr>
            <w:tcW w:type="dxa" w:w="630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Reason</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INTELUX-SVC-01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10.100.20.101</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Wazuh SIEM — disabling or tampering collapses all detection capability</w:t>
            </w:r>
          </w:p>
        </w:tc>
      </w:tr>
      <w:tr>
        <w:tc>
          <w:tcPr>
            <w:tcW w:type="dxa" w:w="162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INTELUX-ADM-01</w:t>
            </w:r>
          </w:p>
        </w:tc>
        <w:tc>
          <w:tcPr>
            <w:tcW w:type="dxa" w:w="144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10.100.10.50</w:t>
            </w:r>
          </w:p>
        </w:tc>
        <w:tc>
          <w:tcPr>
            <w:tcW w:type="dxa" w:w="63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Management node — compromise affects entire lab</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INTELUX-FW-01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192.168.1.133</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Core firewall — any change affects all VLANs</w:t>
            </w:r>
          </w:p>
        </w:tc>
      </w:tr>
      <w:tr>
        <w:tc>
          <w:tcPr>
            <w:tcW w:type="dxa" w:w="162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INTELUX-SW-01</w:t>
            </w:r>
          </w:p>
        </w:tc>
        <w:tc>
          <w:tcPr>
            <w:tcW w:type="dxa" w:w="144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63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VLAN trunk — misconfiguration causes full network outage</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BLU-01/02/03 (hosts)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10.100.30.11-13</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Proxmox hypervisors — target the VMs, never the host</w:t>
            </w:r>
          </w:p>
        </w:tc>
      </w:tr>
      <w:tr>
        <w:tc>
          <w:tcPr>
            <w:tcW w:type="dxa" w:w="162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RED-01/02/03 (hosts)</w:t>
            </w:r>
          </w:p>
        </w:tc>
        <w:tc>
          <w:tcPr>
            <w:tcW w:type="dxa" w:w="144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10.100.40.21-23</w:t>
            </w:r>
          </w:p>
        </w:tc>
        <w:tc>
          <w:tcPr>
            <w:tcW w:type="dxa" w:w="63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Proxmox hypervisors — attack platform hosts, must remain stable</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HOME_NET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192.168.1.0/24</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Home network — lab isolation must be maintained at all times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100"/>
              <w:left w:type="dxa" w:w="160"/>
              <w:bottom w:type="dxa" w:w="100"/>
              <w:right w:type="dxa" w:w="160"/>
            </w:tcMar>
          </w:tcPr>
          <w:p>
            <w:r>
              <w:rPr>
                <w:rFonts w:ascii="Arial" w:cs="Arial" w:eastAsia="Arial" w:hAnsi="Arial"/>
                <w:b/>
                <w:bCs/>
                <w:color w:val="721C24"/>
                <w:sz w:val="20"/>
                <w:szCs w:val="20"/>
              </w:rPr>
              <w:t xml:space="preserve">⛔  Pivoting from an authorized target to an out-of-scope system constitutes a scope violation. Stop immediately and document.</w:t>
            </w:r>
          </w:p>
        </w:tc>
      </w:tr>
    </w:tbl>
    <w:p>
      <w:pPr>
        <w:spacing w:after="80" w:before="80"/>
      </w:pPr>
    </w:p>
    <w:p>
      <w:pPr>
        <w:spacing w:after="80" w:before="80"/>
      </w:pPr>
    </w:p>
    <w:p>
      <w:pPr>
        <w:pBdr>
          <w:bottom w:val="single" w:color="D4A017" w:sz="6" w:space="1"/>
        </w:pBdr>
        <w:spacing w:after="120" w:before="320"/>
      </w:pPr>
      <w:r>
        <w:rPr>
          <w:rFonts w:ascii="Arial" w:cs="Arial" w:eastAsia="Arial" w:hAnsi="Arial"/>
          <w:b/>
          <w:bCs/>
          <w:color w:val="D4A017"/>
          <w:sz w:val="28"/>
          <w:szCs w:val="28"/>
        </w:rPr>
        <w:t xml:space="preserve">6.  AUTHORIZED METHODS &amp; TOOLS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Category</w:t>
            </w:r>
          </w:p>
        </w:tc>
        <w:tc>
          <w:tcPr>
            <w:tcW w:type="dxa" w:w="300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Authorized Tools</w:t>
            </w:r>
          </w:p>
        </w:tc>
        <w:tc>
          <w:tcPr>
            <w:tcW w:type="dxa" w:w="456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Reconnaissance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Nmap, enum4linux, CrackMapExec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Scan authorized targets only (10.100.30.x)</w:t>
            </w:r>
          </w:p>
        </w:tc>
      </w:tr>
      <w:tr>
        <w:tc>
          <w:tcPr>
            <w:tcW w:type="dxa" w:w="18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Initial Access</w:t>
            </w:r>
          </w:p>
        </w:tc>
        <w:tc>
          <w:tcPr>
            <w:tcW w:type="dxa" w:w="30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xfreerdp, manual RDP</w:t>
            </w:r>
          </w:p>
        </w:tc>
        <w:tc>
          <w:tcPr>
            <w:tcW w:type="dxa" w:w="45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RDP to WKS-03/04 only using known local admin credentials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Exploitation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Metasploit Framework, manual exploits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Known CVEs on authorized Windows VMs only</w:t>
            </w:r>
          </w:p>
        </w:tc>
      </w:tr>
      <w:tr>
        <w:tc>
          <w:tcPr>
            <w:tcW w:type="dxa" w:w="18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Privilege Escalation</w:t>
            </w:r>
          </w:p>
        </w:tc>
        <w:tc>
          <w:tcPr>
            <w:tcW w:type="dxa" w:w="30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getsystem, token impersonation, local exploits</w:t>
            </w:r>
          </w:p>
        </w:tc>
        <w:tc>
          <w:tcPr>
            <w:tcW w:type="dxa" w:w="45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Authorized on WKS-03/04 only — not on DC-01 production accounts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Credential Attacks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Mimikatz, hashdump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On authorized targets only — do not exfiltrate real credentials outside lab</w:t>
            </w:r>
          </w:p>
        </w:tc>
      </w:tr>
      <w:tr>
        <w:tc>
          <w:tcPr>
            <w:tcW w:type="dxa" w:w="18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Lateral Movement</w:t>
            </w:r>
          </w:p>
        </w:tc>
        <w:tc>
          <w:tcPr>
            <w:tcW w:type="dxa" w:w="30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RDP, SMB, WMI, pass-the-hash</w:t>
            </w:r>
          </w:p>
        </w:tc>
        <w:tc>
          <w:tcPr>
            <w:tcW w:type="dxa" w:w="45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WKS-03/04 → DC-01 only — stay within authorized target list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Persistence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Registry Run keys, scheduled tasks, startup items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WKS-03/04 only — document ALL changes made</w:t>
            </w:r>
          </w:p>
        </w:tc>
      </w:tr>
      <w:tr>
        <w:tc>
          <w:tcPr>
            <w:tcW w:type="dxa" w:w="18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C2</w:t>
            </w:r>
          </w:p>
        </w:tc>
        <w:tc>
          <w:tcPr>
            <w:tcW w:type="dxa" w:w="30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Metasploit meterpreter, manual reverse shells</w:t>
            </w:r>
          </w:p>
        </w:tc>
        <w:tc>
          <w:tcPr>
            <w:tcW w:type="dxa" w:w="45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KLI-01 as C2 only — NO external C2 infrastructure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Traffic Analysis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Wireshark, tcpdump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Capture authorized segments only — from KLI-01 or RED nodes</w:t>
            </w:r>
          </w:p>
        </w:tc>
      </w:tr>
    </w:tbl>
    <w:p>
      <w:pPr>
        <w:spacing w:after="80" w:before="80"/>
      </w:pPr>
    </w:p>
    <w:p>
      <w:pPr>
        <w:spacing w:after="80" w:before="200"/>
      </w:pPr>
      <w:r>
        <w:rPr>
          <w:rFonts w:ascii="Arial" w:cs="Arial" w:eastAsia="Arial" w:hAnsi="Arial"/>
          <w:b/>
          <w:bCs/>
          <w:color w:val="1C1C2E"/>
          <w:sz w:val="22"/>
          <w:szCs w:val="22"/>
        </w:rPr>
        <w:t xml:space="preserve">The following are NEVER authorized:</w:t>
      </w:r>
    </w:p>
    <w:p>
      <w:pPr>
        <w:pStyle w:val="ListParagraph"/>
        <w:numPr>
          <w:ilvl w:val="0"/>
          <w:numId w:val="2"/>
        </w:numPr>
        <w:spacing w:after="40" w:before="40"/>
      </w:pPr>
      <w:r>
        <w:rPr>
          <w:rFonts w:ascii="Arial" w:cs="Arial" w:eastAsia="Arial" w:hAnsi="Arial"/>
          <w:sz w:val="20"/>
          <w:szCs w:val="20"/>
        </w:rPr>
        <w:t xml:space="preserve">Denial of service or destructive attacks against any system</w:t>
      </w:r>
    </w:p>
    <w:p>
      <w:pPr>
        <w:pStyle w:val="ListParagraph"/>
        <w:numPr>
          <w:ilvl w:val="0"/>
          <w:numId w:val="2"/>
        </w:numPr>
        <w:spacing w:after="40" w:before="40"/>
      </w:pPr>
      <w:r>
        <w:rPr>
          <w:rFonts w:ascii="Arial" w:cs="Arial" w:eastAsia="Arial" w:hAnsi="Arial"/>
          <w:sz w:val="20"/>
          <w:szCs w:val="20"/>
        </w:rPr>
        <w:t xml:space="preserve">Exfiltration of real personal, financial, or credential data outside the lab</w:t>
      </w:r>
    </w:p>
    <w:p>
      <w:pPr>
        <w:pStyle w:val="ListParagraph"/>
        <w:numPr>
          <w:ilvl w:val="0"/>
          <w:numId w:val="2"/>
        </w:numPr>
        <w:spacing w:after="40" w:before="40"/>
      </w:pPr>
      <w:r>
        <w:rPr>
          <w:rFonts w:ascii="Arial" w:cs="Arial" w:eastAsia="Arial" w:hAnsi="Arial"/>
          <w:sz w:val="20"/>
          <w:szCs w:val="20"/>
        </w:rPr>
        <w:t xml:space="preserve">Modification of pfSense firewall rules during an active exercise</w:t>
      </w:r>
    </w:p>
    <w:p>
      <w:pPr>
        <w:pStyle w:val="ListParagraph"/>
        <w:numPr>
          <w:ilvl w:val="0"/>
          <w:numId w:val="2"/>
        </w:numPr>
        <w:spacing w:after="40" w:before="40"/>
      </w:pPr>
      <w:r>
        <w:rPr>
          <w:rFonts w:ascii="Arial" w:cs="Arial" w:eastAsia="Arial" w:hAnsi="Arial"/>
          <w:sz w:val="20"/>
          <w:szCs w:val="20"/>
        </w:rPr>
        <w:t xml:space="preserve">Disabling or tampering with Wazuh agents or the SIEM stack (SVC-01)</w:t>
      </w:r>
    </w:p>
    <w:p>
      <w:pPr>
        <w:pStyle w:val="ListParagraph"/>
        <w:numPr>
          <w:ilvl w:val="0"/>
          <w:numId w:val="2"/>
        </w:numPr>
        <w:spacing w:after="40" w:before="40"/>
      </w:pPr>
      <w:r>
        <w:rPr>
          <w:rFonts w:ascii="Arial" w:cs="Arial" w:eastAsia="Arial" w:hAnsi="Arial"/>
          <w:sz w:val="20"/>
          <w:szCs w:val="20"/>
        </w:rPr>
        <w:t xml:space="preserve">Use of external C2 infrastructure or internet-facing attack tools</w:t>
      </w:r>
    </w:p>
    <w:p>
      <w:pPr>
        <w:pStyle w:val="ListParagraph"/>
        <w:numPr>
          <w:ilvl w:val="0"/>
          <w:numId w:val="2"/>
        </w:numPr>
        <w:spacing w:after="40" w:before="40"/>
      </w:pPr>
      <w:r>
        <w:rPr>
          <w:rFonts w:ascii="Arial" w:cs="Arial" w:eastAsia="Arial" w:hAnsi="Arial"/>
          <w:sz w:val="20"/>
          <w:szCs w:val="20"/>
        </w:rPr>
        <w:t xml:space="preserve">Social engineering of any real person</w:t>
      </w:r>
    </w:p>
    <w:p>
      <w:pPr>
        <w:pStyle w:val="ListParagraph"/>
        <w:numPr>
          <w:ilvl w:val="0"/>
          <w:numId w:val="2"/>
        </w:numPr>
        <w:spacing w:after="40" w:before="40"/>
      </w:pPr>
      <w:r>
        <w:rPr>
          <w:rFonts w:ascii="Arial" w:cs="Arial" w:eastAsia="Arial" w:hAnsi="Arial"/>
          <w:sz w:val="20"/>
          <w:szCs w:val="20"/>
        </w:rPr>
        <w:t xml:space="preserve">Enabling the RED→BLUE pfSense rule outside the kill chain start procedure</w:t>
      </w:r>
    </w:p>
    <w:p>
      <w:pPr>
        <w:spacing w:after="80" w:before="80"/>
      </w:pPr>
    </w:p>
    <w:p>
      <w:pPr>
        <w:spacing w:after="80" w:before="80"/>
      </w:pPr>
    </w:p>
    <w:p>
      <w:pPr>
        <w:pBdr>
          <w:bottom w:val="single" w:color="D4A017" w:sz="6" w:space="1"/>
        </w:pBdr>
        <w:spacing w:after="120" w:before="320"/>
      </w:pPr>
      <w:r>
        <w:rPr>
          <w:rFonts w:ascii="Arial" w:cs="Arial" w:eastAsia="Arial" w:hAnsi="Arial"/>
          <w:b/>
          <w:bCs/>
          <w:color w:val="D4A017"/>
          <w:sz w:val="28"/>
          <w:szCs w:val="28"/>
        </w:rPr>
        <w:t xml:space="preserve">7.  FIREWALL RULES — KILL CHAIN GATE</w:t>
      </w:r>
    </w:p>
    <w:p>
      <w:pPr>
        <w:spacing w:after="80" w:before="80"/>
      </w:pPr>
    </w:p>
    <w:p>
      <w:pPr>
        <w:spacing w:after="60" w:before="60"/>
      </w:pPr>
      <w:r>
        <w:rPr>
          <w:rFonts w:ascii="Arial" w:cs="Arial" w:eastAsia="Arial" w:hAnsi="Arial"/>
          <w:b w:val="false"/>
          <w:bCs w:val="false"/>
          <w:color w:val="000000"/>
          <w:sz w:val="20"/>
          <w:szCs w:val="20"/>
        </w:rPr>
        <w:t xml:space="preserve">The RED→BLUE pfSense rule is the primary network gate controlling attack traffic. It must be managed as follows: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c>
          <w:tcPr>
            <w:tcW w:type="dxa" w:w="216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Rule</w:t>
            </w:r>
          </w:p>
        </w:tc>
        <w:tc>
          <w:tcPr>
            <w:tcW w:type="dxa" w:w="180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State</w:t>
            </w:r>
          </w:p>
        </w:tc>
        <w:tc>
          <w:tcPr>
            <w:tcW w:type="dxa" w:w="540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RED→BLUE allow 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21C24"/>
                <w:sz w:val="18"/>
                <w:szCs w:val="18"/>
              </w:rPr>
              <w:t xml:space="preserve">DISABLED (default)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Enable ONLY at kill chain start (checklist item 4). Disable immediately after exercise ends.</w:t>
            </w:r>
          </w:p>
        </w:tc>
      </w:tr>
      <w:tr>
        <w:tc>
          <w:tcPr>
            <w:tcW w:type="dxa" w:w="21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BLUE catch-all TCP/UDP</w:t>
            </w:r>
          </w:p>
        </w:tc>
        <w:tc>
          <w:tcPr>
            <w:tcW w:type="dxa" w:w="18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DISABLED (permanent)</w:t>
            </w:r>
          </w:p>
        </w:tc>
        <w:tc>
          <w:tcPr>
            <w:tcW w:type="dxa" w:w="54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Must remain disabled — was bypassing Block CLIENTS→MGMT rule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LAN DHCP (192.168.10.x)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DISABLED (permanent)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Ghost config from old topology — do not re-enable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56404"/>
                <w:sz w:val="20"/>
                <w:szCs w:val="20"/>
              </w:rPr>
              <w:t xml:space="preserve">⚠  If BLUE or RED connectivity breaks unexpectedly, check these three rules first before any other troubleshooting.</w:t>
            </w:r>
          </w:p>
        </w:tc>
      </w:tr>
    </w:tbl>
    <w:p>
      <w:pPr>
        <w:spacing w:after="80" w:before="80"/>
      </w:pPr>
    </w:p>
    <w:p>
      <w:pPr>
        <w:spacing w:after="80" w:before="80"/>
      </w:pPr>
    </w:p>
    <w:p>
      <w:pPr>
        <w:pBdr>
          <w:bottom w:val="single" w:color="D4A017" w:sz="6" w:space="1"/>
        </w:pBdr>
        <w:spacing w:after="120" w:before="320"/>
      </w:pPr>
      <w:r>
        <w:rPr>
          <w:rFonts w:ascii="Arial" w:cs="Arial" w:eastAsia="Arial" w:hAnsi="Arial"/>
          <w:b/>
          <w:bCs/>
          <w:color w:val="D4A017"/>
          <w:sz w:val="28"/>
          <w:szCs w:val="28"/>
        </w:rPr>
        <w:t xml:space="preserve">8.  PRE-EXERCISE CHECKLIST</w:t>
      </w:r>
    </w:p>
    <w:p>
      <w:pPr>
        <w:spacing w:after="80" w:before="80"/>
      </w:pPr>
    </w:p>
    <w:p>
      <w:pPr>
        <w:spacing w:after="60" w:before="60"/>
      </w:pPr>
      <w:r>
        <w:rPr>
          <w:rFonts w:ascii="Arial" w:cs="Arial" w:eastAsia="Arial" w:hAnsi="Arial"/>
          <w:b w:val="false"/>
          <w:bCs w:val="false"/>
          <w:color w:val="000000"/>
          <w:sz w:val="20"/>
          <w:szCs w:val="20"/>
        </w:rPr>
        <w:t xml:space="preserve">The following must be confirmed before starting any exercise: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580"/>
        <w:gridCol w:w="1800"/>
        <w:gridCol w:w="1440"/>
      </w:tblGrid>
      <w:tr>
        <w:tc>
          <w:tcPr>
            <w:tcW w:type="dxa" w:w="54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558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Verified By</w:t>
            </w:r>
          </w:p>
        </w:tc>
        <w:tc>
          <w:tcPr>
            <w:tcW w:type="dxa" w:w="144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Wazuh dashboard open — all active agents confirmed live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Raynard A. Porter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r>
      <w:tr>
        <w:tc>
          <w:tcPr>
            <w:tcW w:type="dxa" w:w="54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558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Target VM powered on and reachable via ping from KLI-01</w:t>
            </w:r>
          </w:p>
        </w:tc>
        <w:tc>
          <w:tcPr>
            <w:tcW w:type="dxa" w:w="18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Raynard A. Porter</w:t>
            </w:r>
          </w:p>
        </w:tc>
        <w:tc>
          <w:tcPr>
            <w:tcW w:type="dxa" w:w="144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FIM baseline clean — no pre-existing detections on target VM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Raynard A. Porter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r>
      <w:tr>
        <w:tc>
          <w:tcPr>
            <w:tcW w:type="dxa" w:w="54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558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RED→BLUE pfSense rule ENABLED — confirm in pfSense before first attack</w:t>
            </w:r>
          </w:p>
        </w:tc>
        <w:tc>
          <w:tcPr>
            <w:tcW w:type="dxa" w:w="18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Raynard A. Porter</w:t>
            </w:r>
          </w:p>
        </w:tc>
        <w:tc>
          <w:tcPr>
            <w:tcW w:type="dxa" w:w="144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Snapshot taken of target VM before exercise — label with 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Raynard A. Porter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r>
      <w:tr>
        <w:tc>
          <w:tcPr>
            <w:tcW w:type="dxa" w:w="54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558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This ROE document reviewed and understood</w:t>
            </w:r>
          </w:p>
        </w:tc>
        <w:tc>
          <w:tcPr>
            <w:tcW w:type="dxa" w:w="18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Raynard A. Porter</w:t>
            </w:r>
          </w:p>
        </w:tc>
        <w:tc>
          <w:tcPr>
            <w:tcW w:type="dxa" w:w="144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Exercise log / incident report template open (INTELUX-INC-XXX)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Raynard A. Porter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r>
      <w:tr>
        <w:tc>
          <w:tcPr>
            <w:tcW w:type="dxa" w:w="54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w:t>
            </w:r>
          </w:p>
        </w:tc>
        <w:tc>
          <w:tcPr>
            <w:tcW w:type="dxa" w:w="558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KLI-01 confirmed on VLAN 40 (10.100.40.24) — no VLAN bleed</w:t>
            </w:r>
          </w:p>
        </w:tc>
        <w:tc>
          <w:tcPr>
            <w:tcW w:type="dxa" w:w="18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Raynard A. Porter</w:t>
            </w:r>
          </w:p>
        </w:tc>
        <w:tc>
          <w:tcPr>
            <w:tcW w:type="dxa" w:w="144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r>
    </w:tbl>
    <w:p>
      <w:pPr>
        <w:spacing w:after="80" w:before="80"/>
      </w:pPr>
    </w:p>
    <w:p>
      <w:pPr>
        <w:spacing w:after="80" w:before="80"/>
      </w:pPr>
    </w:p>
    <w:p>
      <w:pPr>
        <w:pBdr>
          <w:bottom w:val="single" w:color="D4A017" w:sz="6" w:space="1"/>
        </w:pBdr>
        <w:spacing w:after="120" w:before="320"/>
      </w:pPr>
      <w:r>
        <w:rPr>
          <w:rFonts w:ascii="Arial" w:cs="Arial" w:eastAsia="Arial" w:hAnsi="Arial"/>
          <w:b/>
          <w:bCs/>
          <w:color w:val="D4A017"/>
          <w:sz w:val="28"/>
          <w:szCs w:val="28"/>
        </w:rPr>
        <w:t xml:space="preserve">9.  EMERGENCY STOP PROCEDURE</w:t>
      </w:r>
    </w:p>
    <w:p>
      <w:pPr>
        <w:spacing w:after="80" w:before="80"/>
      </w:pPr>
    </w:p>
    <w:p>
      <w:pPr>
        <w:spacing w:after="60" w:before="60"/>
      </w:pPr>
      <w:r>
        <w:rPr>
          <w:rFonts w:ascii="Arial" w:cs="Arial" w:eastAsia="Arial" w:hAnsi="Arial"/>
          <w:b w:val="false"/>
          <w:bCs w:val="false"/>
          <w:color w:val="000000"/>
          <w:sz w:val="20"/>
          <w:szCs w:val="20"/>
        </w:rPr>
        <w:t xml:space="preserve">If any of the following occur, STOP the exercise immediately:</w:t>
      </w:r>
    </w:p>
    <w:p>
      <w:pPr>
        <w:pStyle w:val="ListParagraph"/>
        <w:numPr>
          <w:ilvl w:val="0"/>
          <w:numId w:val="2"/>
        </w:numPr>
        <w:spacing w:after="40" w:before="40"/>
      </w:pPr>
      <w:r>
        <w:rPr>
          <w:rFonts w:ascii="Arial" w:cs="Arial" w:eastAsia="Arial" w:hAnsi="Arial"/>
          <w:sz w:val="20"/>
          <w:szCs w:val="20"/>
        </w:rPr>
        <w:t xml:space="preserve">Activity is detected spreading beyond the authorized target list</w:t>
      </w:r>
    </w:p>
    <w:p>
      <w:pPr>
        <w:pStyle w:val="ListParagraph"/>
        <w:numPr>
          <w:ilvl w:val="0"/>
          <w:numId w:val="2"/>
        </w:numPr>
        <w:spacing w:after="40" w:before="40"/>
      </w:pPr>
      <w:r>
        <w:rPr>
          <w:rFonts w:ascii="Arial" w:cs="Arial" w:eastAsia="Arial" w:hAnsi="Arial"/>
          <w:sz w:val="20"/>
          <w:szCs w:val="20"/>
        </w:rPr>
        <w:t xml:space="preserve">SVC-01, ADM-01, FW-01, or any Proxmox host shows unexpected activity in Wazuh</w:t>
      </w:r>
    </w:p>
    <w:p>
      <w:pPr>
        <w:pStyle w:val="ListParagraph"/>
        <w:numPr>
          <w:ilvl w:val="0"/>
          <w:numId w:val="2"/>
        </w:numPr>
        <w:spacing w:after="40" w:before="40"/>
      </w:pPr>
      <w:r>
        <w:rPr>
          <w:rFonts w:ascii="Arial" w:cs="Arial" w:eastAsia="Arial" w:hAnsi="Arial"/>
          <w:sz w:val="20"/>
          <w:szCs w:val="20"/>
        </w:rPr>
        <w:t xml:space="preserve">Home network (192.168.1.0/24) receives unexpected traffic from lab VLANs</w:t>
      </w:r>
    </w:p>
    <w:p>
      <w:pPr>
        <w:pStyle w:val="ListParagraph"/>
        <w:numPr>
          <w:ilvl w:val="0"/>
          <w:numId w:val="2"/>
        </w:numPr>
        <w:spacing w:after="40" w:before="40"/>
      </w:pPr>
      <w:r>
        <w:rPr>
          <w:rFonts w:ascii="Arial" w:cs="Arial" w:eastAsia="Arial" w:hAnsi="Arial"/>
          <w:sz w:val="20"/>
          <w:szCs w:val="20"/>
        </w:rPr>
        <w:t xml:space="preserve">Lab network becomes unreachable or unstable</w:t>
      </w:r>
    </w:p>
    <w:p>
      <w:pPr>
        <w:pStyle w:val="ListParagraph"/>
        <w:numPr>
          <w:ilvl w:val="0"/>
          <w:numId w:val="2"/>
        </w:numPr>
        <w:spacing w:after="40" w:before="40"/>
      </w:pPr>
      <w:r>
        <w:rPr>
          <w:rFonts w:ascii="Arial" w:cs="Arial" w:eastAsia="Arial" w:hAnsi="Arial"/>
          <w:sz w:val="20"/>
          <w:szCs w:val="20"/>
        </w:rPr>
        <w:t xml:space="preserve">Any doubt about whether an action is in scope</w:t>
      </w:r>
    </w:p>
    <w:p>
      <w:pPr>
        <w:spacing w:after="80" w:before="80"/>
      </w:pPr>
    </w:p>
    <w:p>
      <w:pPr>
        <w:spacing w:after="80" w:before="200"/>
      </w:pPr>
      <w:r>
        <w:rPr>
          <w:rFonts w:ascii="Arial" w:cs="Arial" w:eastAsia="Arial" w:hAnsi="Arial"/>
          <w:b/>
          <w:bCs/>
          <w:color w:val="1C1C2E"/>
          <w:sz w:val="22"/>
          <w:szCs w:val="22"/>
        </w:rPr>
        <w:t xml:space="preserve">Emergency stop steps:</w:t>
      </w:r>
    </w:p>
    <w:p>
      <w:pPr>
        <w:pStyle w:val="ListParagraph"/>
        <w:numPr>
          <w:ilvl w:val="0"/>
          <w:numId w:val="2"/>
        </w:numPr>
        <w:spacing w:after="40" w:before="40"/>
      </w:pPr>
      <w:r>
        <w:rPr>
          <w:rFonts w:ascii="Arial" w:cs="Arial" w:eastAsia="Arial" w:hAnsi="Arial"/>
          <w:sz w:val="20"/>
          <w:szCs w:val="20"/>
        </w:rPr>
        <w:t xml:space="preserve">Step 1 — Immediately terminate all active sessions on KLI-01 (close xfreerdp / kill meterpreter)</w:t>
      </w:r>
    </w:p>
    <w:p>
      <w:pPr>
        <w:pStyle w:val="ListParagraph"/>
        <w:numPr>
          <w:ilvl w:val="0"/>
          <w:numId w:val="2"/>
        </w:numPr>
        <w:spacing w:after="40" w:before="40"/>
      </w:pPr>
      <w:r>
        <w:rPr>
          <w:rFonts w:ascii="Arial" w:cs="Arial" w:eastAsia="Arial" w:hAnsi="Arial"/>
          <w:sz w:val="20"/>
          <w:szCs w:val="20"/>
        </w:rPr>
        <w:t xml:space="preserve">Step 2 — Disable RED→BLUE pfSense rule immediately</w:t>
      </w:r>
    </w:p>
    <w:p>
      <w:pPr>
        <w:pStyle w:val="ListParagraph"/>
        <w:numPr>
          <w:ilvl w:val="0"/>
          <w:numId w:val="2"/>
        </w:numPr>
        <w:spacing w:after="40" w:before="40"/>
      </w:pPr>
      <w:r>
        <w:rPr>
          <w:rFonts w:ascii="Arial" w:cs="Arial" w:eastAsia="Arial" w:hAnsi="Arial"/>
          <w:sz w:val="20"/>
          <w:szCs w:val="20"/>
        </w:rPr>
        <w:t xml:space="preserve">Step 3 — Revert target VM to pre-exercise snapshot in Proxmox</w:t>
      </w:r>
    </w:p>
    <w:p>
      <w:pPr>
        <w:pStyle w:val="ListParagraph"/>
        <w:numPr>
          <w:ilvl w:val="0"/>
          <w:numId w:val="2"/>
        </w:numPr>
        <w:spacing w:after="40" w:before="40"/>
      </w:pPr>
      <w:r>
        <w:rPr>
          <w:rFonts w:ascii="Arial" w:cs="Arial" w:eastAsia="Arial" w:hAnsi="Arial"/>
          <w:sz w:val="20"/>
          <w:szCs w:val="20"/>
        </w:rPr>
        <w:t xml:space="preserve">Step 4 — Check pfSense firewall logs for unexpected inter-VLAN traffic</w:t>
      </w:r>
    </w:p>
    <w:p>
      <w:pPr>
        <w:pStyle w:val="ListParagraph"/>
        <w:numPr>
          <w:ilvl w:val="0"/>
          <w:numId w:val="2"/>
        </w:numPr>
        <w:spacing w:after="40" w:before="40"/>
      </w:pPr>
      <w:r>
        <w:rPr>
          <w:rFonts w:ascii="Arial" w:cs="Arial" w:eastAsia="Arial" w:hAnsi="Arial"/>
          <w:sz w:val="20"/>
          <w:szCs w:val="20"/>
        </w:rPr>
        <w:t xml:space="preserve">Step 5 — Review Wazuh dashboard for out-of-scope alerts</w:t>
      </w:r>
    </w:p>
    <w:p>
      <w:pPr>
        <w:pStyle w:val="ListParagraph"/>
        <w:numPr>
          <w:ilvl w:val="0"/>
          <w:numId w:val="2"/>
        </w:numPr>
        <w:spacing w:after="40" w:before="40"/>
      </w:pPr>
      <w:r>
        <w:rPr>
          <w:rFonts w:ascii="Arial" w:cs="Arial" w:eastAsia="Arial" w:hAnsi="Arial"/>
          <w:sz w:val="20"/>
          <w:szCs w:val="20"/>
        </w:rPr>
        <w:t xml:space="preserve">Step 6 — Document the stop event in the exercise incident report</w:t>
      </w:r>
    </w:p>
    <w:p>
      <w:pPr>
        <w:pStyle w:val="ListParagraph"/>
        <w:numPr>
          <w:ilvl w:val="0"/>
          <w:numId w:val="2"/>
        </w:numPr>
        <w:spacing w:after="40" w:before="40"/>
      </w:pPr>
      <w:r>
        <w:rPr>
          <w:rFonts w:ascii="Arial" w:cs="Arial" w:eastAsia="Arial" w:hAnsi="Arial"/>
          <w:sz w:val="20"/>
          <w:szCs w:val="20"/>
        </w:rPr>
        <w:t xml:space="preserve">Step 7 — Do not resume until root cause is identified and documented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856404"/>
                <w:sz w:val="20"/>
                <w:szCs w:val="20"/>
              </w:rPr>
              <w:t xml:space="preserve">⚠  Powering off KLI-01 is always safe. It is isolated to VLAN RED (40) and cannot affect MGMT, SERVICES, or the home network.</w:t>
            </w:r>
          </w:p>
        </w:tc>
      </w:tr>
    </w:tbl>
    <w:p>
      <w:pPr>
        <w:spacing w:after="80" w:before="80"/>
      </w:pPr>
    </w:p>
    <w:p>
      <w:pPr>
        <w:spacing w:after="80" w:before="80"/>
      </w:pPr>
    </w:p>
    <w:p>
      <w:pPr>
        <w:pBdr>
          <w:bottom w:val="single" w:color="D4A017" w:sz="6" w:space="1"/>
        </w:pBdr>
        <w:spacing w:after="120" w:before="320"/>
      </w:pPr>
      <w:r>
        <w:rPr>
          <w:rFonts w:ascii="Arial" w:cs="Arial" w:eastAsia="Arial" w:hAnsi="Arial"/>
          <w:b/>
          <w:bCs/>
          <w:color w:val="D4A017"/>
          <w:sz w:val="28"/>
          <w:szCs w:val="28"/>
        </w:rPr>
        <w:t xml:space="preserve">10.  POST-EXERCISE REQUIREMENTS</w:t>
      </w:r>
    </w:p>
    <w:p>
      <w:pPr>
        <w:spacing w:after="80" w:before="80"/>
      </w:pPr>
    </w:p>
    <w:p>
      <w:pPr>
        <w:spacing w:after="60" w:before="60"/>
      </w:pPr>
      <w:r>
        <w:rPr>
          <w:rFonts w:ascii="Arial" w:cs="Arial" w:eastAsia="Arial" w:hAnsi="Arial"/>
          <w:b w:val="false"/>
          <w:bCs w:val="false"/>
          <w:color w:val="000000"/>
          <w:sz w:val="20"/>
          <w:szCs w:val="20"/>
        </w:rPr>
        <w:t xml:space="preserve">The following must be completed before any exercise is considered closed: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882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Disable RED→BLUE pfSense rule — verify disabled before ending session</w:t>
            </w:r>
          </w:p>
        </w:tc>
      </w:tr>
      <w:tr>
        <w:tc>
          <w:tcPr>
            <w:tcW w:type="dxa" w:w="54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882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Revert all modified target VMs to pre-exercise snapshot — confirm Wazuh agents 012/013 active after rollback</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Exercise incident report (INTELUX-INC-XXX) — timeline, tools used, alerts triggered, findings</w:t>
            </w:r>
          </w:p>
        </w:tc>
      </w:tr>
      <w:tr>
        <w:tc>
          <w:tcPr>
            <w:tcW w:type="dxa" w:w="54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882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Wazuh alert screenshots for every detection triggered during the exercise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Before/after FIM comparison for any registry or file system changes</w:t>
            </w:r>
          </w:p>
        </w:tc>
      </w:tr>
      <w:tr>
        <w:tc>
          <w:tcPr>
            <w:tcW w:type="dxa" w:w="54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882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GitHub commit — incident report, updated inventory, and any new documentation within 48 hours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Obsidian vault updated with session notes and findings</w:t>
            </w:r>
          </w:p>
        </w:tc>
      </w:tr>
    </w:tbl>
    <w:p>
      <w:pPr>
        <w:spacing w:after="80" w:before="80"/>
      </w:pPr>
    </w:p>
    <w:p>
      <w:pPr>
        <w:spacing w:after="80" w:before="80"/>
      </w:pPr>
    </w:p>
    <w:p>
      <w:pPr>
        <w:pBdr>
          <w:bottom w:val="single" w:color="D4A017" w:sz="6" w:space="1"/>
        </w:pBdr>
        <w:spacing w:after="120" w:before="320"/>
      </w:pPr>
      <w:r>
        <w:rPr>
          <w:rFonts w:ascii="Arial" w:cs="Arial" w:eastAsia="Arial" w:hAnsi="Arial"/>
          <w:b/>
          <w:bCs/>
          <w:color w:val="D4A017"/>
          <w:sz w:val="28"/>
          <w:szCs w:val="28"/>
        </w:rPr>
        <w:t xml:space="preserve">11.  SIGN-OFF</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520"/>
        <w:gridCol w:w="1800"/>
        <w:gridCol w:w="1800"/>
      </w:tblGrid>
      <w:tr>
        <w:tc>
          <w:tcPr>
            <w:tcW w:type="dxa" w:w="324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252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Name</w:t>
            </w:r>
          </w:p>
        </w:tc>
        <w:tc>
          <w:tcPr>
            <w:tcW w:type="dxa" w:w="180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1800"/>
            <w:tcBorders>
              <w:top w:val="single" w:color="CCCCCC" w:sz="1"/>
              <w:left w:val="single" w:color="CCCCCC" w:sz="1"/>
              <w:bottom w:val="single" w:color="CCCCCC" w:sz="1"/>
              <w:right w:val="single" w:color="CCCCCC" w:sz="1"/>
            </w:tcBorders>
            <w:shd w:fill="1C1C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Signature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Systems Administrator / Authorizing Officer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Raynard A. Porter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May 18,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________________</w:t>
            </w:r>
          </w:p>
        </w:tc>
      </w:tr>
      <w:tr>
        <w:tc>
          <w:tcPr>
            <w:tcW w:type="dxa" w:w="324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 Team Operator</w:t>
            </w:r>
          </w:p>
        </w:tc>
        <w:tc>
          <w:tcPr>
            <w:tcW w:type="dxa" w:w="252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Raynard A. Porter</w:t>
            </w:r>
          </w:p>
        </w:tc>
        <w:tc>
          <w:tcPr>
            <w:tcW w:type="dxa" w:w="18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May 18, 2026</w:t>
            </w:r>
          </w:p>
        </w:tc>
        <w:tc>
          <w:tcPr>
            <w:tcW w:type="dxa" w:w="18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________________</w:t>
            </w:r>
          </w:p>
        </w:tc>
      </w:tr>
    </w:tbl>
    <w:p>
      <w:pPr>
        <w:spacing w:after="80" w:before="80"/>
      </w:pPr>
    </w:p>
    <w:p>
      <w:pPr>
        <w:spacing w:after="80" w:before="80"/>
      </w:pPr>
    </w:p>
    <w:p>
      <w:pPr>
        <w:spacing w:before="160"/>
        <w:jc w:val="center"/>
      </w:pPr>
      <w:r>
        <w:rPr>
          <w:rFonts w:ascii="Arial" w:cs="Arial" w:eastAsia="Arial" w:hAnsi="Arial"/>
          <w:color w:val="888888"/>
          <w:sz w:val="16"/>
          <w:szCs w:val="16"/>
        </w:rPr>
        <w:t xml:space="preserve">Document Control: INTELUX-ROE-002  |  Version 2.0  |  Classification: Internal — Confidential  |  Retention: 2 Years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017" w:sz="4" w:space="1"/>
      </w:pBdr>
      <w:tabs>
        <w:tab w:val="right" w:pos="9360"/>
      </w:tabs>
      <w:spacing w:before="80"/>
    </w:pPr>
    <w:r>
      <w:rPr>
        <w:rFonts w:ascii="Arial" w:cs="Arial" w:eastAsia="Arial" w:hAnsi="Arial"/>
        <w:color w:val="888888"/>
        <w:sz w:val="16"/>
        <w:szCs w:val="16"/>
      </w:rPr>
      <w:t xml:space="preserve">INTELUX SYSTEMS, INC.  —  INTERNAL USE ONLY  —  CONFIDENTIAL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none" w:color="FFFFFF" w:sz="0"/>
            <w:left w:val="none" w:color="FFFFFF" w:sz="0"/>
            <w:bottom w:val="none" w:color="FFFFFF" w:sz="0"/>
            <w:right w:val="none" w:color="FFFFFF" w:sz="0"/>
          </w:tcBorders>
          <w:shd w:fill="1C1C2E" w:val="clear"/>
          <w:tcMar>
            <w:top w:type="dxa" w:w="80"/>
            <w:left w:type="dxa" w:w="160"/>
            <w:bottom w:type="dxa" w:w="80"/>
            <w:right w:type="dxa" w:w="160"/>
          </w:tcMar>
        </w:tcPr>
        <w:p>
          <w:r>
            <w:rPr>
              <w:rFonts w:ascii="Arial" w:cs="Arial" w:eastAsia="Arial" w:hAnsi="Arial"/>
              <w:b/>
              <w:bCs/>
              <w:color w:val="D4A017"/>
              <w:sz w:val="18"/>
              <w:szCs w:val="18"/>
            </w:rPr>
            <w:t xml:space="preserve">INTELUX SYSTEMS, INC.  —  RULES OF ENGAGEMENT</w:t>
          </w:r>
        </w:p>
      </w:tc>
      <w:tc>
        <w:tcPr>
          <w:tcW w:type="dxa" w:w="3120"/>
          <w:tcBorders>
            <w:top w:val="none" w:color="FFFFFF" w:sz="0"/>
            <w:left w:val="none" w:color="FFFFFF" w:sz="0"/>
            <w:bottom w:val="none" w:color="FFFFFF" w:sz="0"/>
            <w:right w:val="none" w:color="FFFFFF" w:sz="0"/>
          </w:tcBorders>
          <w:shd w:fill="1C1C2E" w:val="clear"/>
          <w:tcMar>
            <w:top w:type="dxa" w:w="80"/>
            <w:left w:type="dxa" w:w="160"/>
            <w:bottom w:type="dxa" w:w="80"/>
            <w:right w:type="dxa" w:w="160"/>
          </w:tcMar>
          <w:vAlign w:val="center"/>
        </w:tcPr>
        <w:p>
          <w:pPr>
            <w:jc w:val="right"/>
          </w:pPr>
          <w:r>
            <w:rPr>
              <w:rFonts w:ascii="Arial" w:cs="Arial" w:eastAsia="Arial" w:hAnsi="Arial"/>
              <w:color w:val="AAAAAA"/>
              <w:sz w:val="16"/>
              <w:szCs w:val="16"/>
            </w:rPr>
            <w:t xml:space="preserve">INTELUX-ROE-002  |  CONFIDENTIAL</w:t>
          </w:r>
        </w:p>
      </w:tc>
    </w:tr>
  </w:tbl>
  <w:p>
    <w:pPr>
      <w:spacing w:after="8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2026-05-18T19:54:11.445Z</dcterms:created>
  <dcterms:modified xsi:type="dcterms:W3CDTF">2026-05-18T19:54:11.445Z</dcterms:modified>
</cp:coreProperties>
</file>

<file path=docProps/custom.xml><?xml version="1.0" encoding="utf-8"?>
<Properties xmlns="http://schemas.openxmlformats.org/officeDocument/2006/custom-properties" xmlns:vt="http://schemas.openxmlformats.org/officeDocument/2006/docPropsVTypes"/>
</file>