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61774B5" w14:textId="77777777" w:rsidR="002556AE" w:rsidRDefault="002556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E468D" w14:paraId="4DA349D1" w14:textId="77777777" w:rsidTr="000E468D">
        <w:tc>
          <w:tcPr>
            <w:tcW w:w="9061" w:type="dxa"/>
            <w:shd w:val="clear" w:color="auto" w:fill="FF3F5A"/>
          </w:tcPr>
          <w:p w14:paraId="725BFA6E" w14:textId="3304341F" w:rsidR="000E468D" w:rsidRPr="000E468D" w:rsidRDefault="000E468D" w:rsidP="000E468D">
            <w:pPr>
              <w:rPr>
                <w:b/>
                <w:bCs/>
                <w:sz w:val="32"/>
                <w:szCs w:val="32"/>
              </w:rPr>
            </w:pPr>
            <w:r w:rsidRPr="000E468D">
              <w:rPr>
                <w:b/>
                <w:bCs/>
                <w:sz w:val="32"/>
                <w:szCs w:val="32"/>
              </w:rPr>
              <w:t>Heti kitekintés</w:t>
            </w:r>
          </w:p>
        </w:tc>
      </w:tr>
      <w:tr w:rsidR="000E468D" w14:paraId="116743D9" w14:textId="77777777" w:rsidTr="000E468D">
        <w:tc>
          <w:tcPr>
            <w:tcW w:w="9061" w:type="dxa"/>
            <w:shd w:val="clear" w:color="auto" w:fill="000000" w:themeFill="text1"/>
          </w:tcPr>
          <w:p w14:paraId="7C923E26" w14:textId="77777777" w:rsidR="000E468D" w:rsidRPr="000E468D" w:rsidRDefault="000E468D" w:rsidP="000E468D">
            <w:pPr>
              <w:rPr>
                <w:b/>
                <w:bCs/>
              </w:rPr>
            </w:pPr>
          </w:p>
        </w:tc>
      </w:tr>
      <w:tr w:rsidR="000E468D" w14:paraId="09F8CD92" w14:textId="77777777" w:rsidTr="000E468D">
        <w:tc>
          <w:tcPr>
            <w:tcW w:w="9061" w:type="dxa"/>
            <w:shd w:val="clear" w:color="auto" w:fill="FF3F5A"/>
          </w:tcPr>
          <w:p w14:paraId="172F3B0B" w14:textId="5B20F3FA" w:rsidR="000E468D" w:rsidRPr="000E468D" w:rsidRDefault="00A502A8" w:rsidP="000E468D">
            <w:r>
              <w:t>A</w:t>
            </w:r>
            <w:r w:rsidRPr="00A502A8">
              <w:t xml:space="preserve"> kiberkockázat fókusza tovább tolódik az identitás, bizalom és ellátási lánc irányába: fejlesztői ökoszisztémák, CI/CD és SaaS integrációk válnak elsődleges belépési ponttá, miközben a klasszikus „exploit–patch” verseny tovább gyorsul. Ezzel párhuzamosan a hibrid és transznacionális műveletek (információmanipuláció, megszemélyesítés) egyre inkább </w:t>
            </w:r>
            <w:r>
              <w:t xml:space="preserve">a </w:t>
            </w:r>
            <w:r w:rsidRPr="00A502A8">
              <w:t>szervezetszintű rezilienciát tesztel</w:t>
            </w:r>
            <w:r>
              <w:t>ik</w:t>
            </w:r>
            <w:r w:rsidRPr="00A502A8">
              <w:t>, nem csak technikai kontrollokat.</w:t>
            </w:r>
          </w:p>
        </w:tc>
      </w:tr>
    </w:tbl>
    <w:p w14:paraId="0C786A70" w14:textId="77777777" w:rsidR="000E468D" w:rsidRDefault="000E468D"/>
    <w:tbl>
      <w:tblPr>
        <w:tblStyle w:val="TableGrid"/>
        <w:tblpPr w:leftFromText="180" w:rightFromText="180" w:vertAnchor="text" w:horzAnchor="margin" w:tblpY="202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2556AE" w14:paraId="4EBE4094" w14:textId="77777777" w:rsidTr="0099062D">
        <w:tc>
          <w:tcPr>
            <w:tcW w:w="9061" w:type="dxa"/>
            <w:gridSpan w:val="2"/>
            <w:shd w:val="clear" w:color="auto" w:fill="FF3F5A"/>
          </w:tcPr>
          <w:p w14:paraId="32D92070" w14:textId="55052324" w:rsidR="002556AE" w:rsidRPr="007E4FF7" w:rsidRDefault="002556AE" w:rsidP="0099062D">
            <w:pPr>
              <w:rPr>
                <w:b/>
                <w:bCs/>
                <w:sz w:val="32"/>
                <w:szCs w:val="32"/>
                <w:lang w:val="hu-HU"/>
              </w:rPr>
            </w:pPr>
            <w:r w:rsidRPr="007E4FF7">
              <w:rPr>
                <w:b/>
                <w:bCs/>
                <w:sz w:val="32"/>
                <w:szCs w:val="32"/>
              </w:rPr>
              <w:t>Fenyegetési szereplők és kampányok</w:t>
            </w:r>
          </w:p>
        </w:tc>
      </w:tr>
      <w:tr w:rsidR="007E4FF7" w14:paraId="6B79B6D8" w14:textId="77777777" w:rsidTr="00F435E0">
        <w:tc>
          <w:tcPr>
            <w:tcW w:w="4530" w:type="dxa"/>
            <w:shd w:val="clear" w:color="auto" w:fill="000000" w:themeFill="text1"/>
          </w:tcPr>
          <w:p w14:paraId="08577966" w14:textId="77777777" w:rsidR="000E468D" w:rsidRDefault="000E468D" w:rsidP="007E4FF7">
            <w:pPr>
              <w:rPr>
                <w:b/>
                <w:bCs/>
              </w:rPr>
            </w:pPr>
          </w:p>
          <w:p w14:paraId="04D07368" w14:textId="2D0F1889" w:rsidR="007E4FF7" w:rsidRDefault="007E4FF7" w:rsidP="007E4FF7">
            <w:r w:rsidRPr="003E09E4">
              <w:rPr>
                <w:b/>
                <w:bCs/>
              </w:rPr>
              <w:t>Fő trend:</w:t>
            </w:r>
            <w:r w:rsidRPr="003E09E4">
              <w:t xml:space="preserve"> </w:t>
            </w:r>
            <w:r w:rsidR="00A502A8" w:rsidRPr="00A502A8">
              <w:t>A célzott kampányokban a technikai áttörés helyett a megszemélyesítés és a bizalomépítés válik a legnagyobb hatású fegyverré.</w:t>
            </w:r>
          </w:p>
          <w:p w14:paraId="16770A6B" w14:textId="77777777" w:rsidR="000E468D" w:rsidRDefault="000E468D" w:rsidP="007E4FF7">
            <w:pPr>
              <w:rPr>
                <w:b/>
                <w:bCs/>
              </w:rPr>
            </w:pPr>
          </w:p>
          <w:p w14:paraId="743AF66A" w14:textId="38E01A23" w:rsidR="000E468D" w:rsidRPr="003E09E4" w:rsidRDefault="000E468D" w:rsidP="007E4FF7">
            <w:pPr>
              <w:rPr>
                <w:b/>
                <w:bCs/>
              </w:rPr>
            </w:pPr>
          </w:p>
        </w:tc>
        <w:tc>
          <w:tcPr>
            <w:tcW w:w="4531" w:type="dxa"/>
            <w:shd w:val="clear" w:color="auto" w:fill="000000" w:themeFill="text1"/>
          </w:tcPr>
          <w:p w14:paraId="0661A814" w14:textId="0E15C533" w:rsidR="007E4FF7" w:rsidRPr="003E09E4" w:rsidRDefault="007E4FF7" w:rsidP="007E4FF7">
            <w:pPr>
              <w:rPr>
                <w:b/>
                <w:bCs/>
              </w:rPr>
            </w:pPr>
          </w:p>
        </w:tc>
      </w:tr>
      <w:tr w:rsidR="007E4FF7" w14:paraId="42FC0D95" w14:textId="77777777" w:rsidTr="0099062D">
        <w:tc>
          <w:tcPr>
            <w:tcW w:w="9061" w:type="dxa"/>
            <w:gridSpan w:val="2"/>
            <w:shd w:val="clear" w:color="auto" w:fill="FF3F5A"/>
          </w:tcPr>
          <w:p w14:paraId="5FB07558" w14:textId="60D73FAF" w:rsidR="007E4FF7" w:rsidRDefault="00A502A8" w:rsidP="007E4FF7">
            <w:r w:rsidRPr="00A502A8">
              <w:t xml:space="preserve">A fenyegetési képben jól kirajzolódik, hogy a hibrid szereplők a kibertérben nem önmagában „támadnak”, hanem politikai és gazdasági célokat kiszolgáló műveleteket futtatnak: Belarusz esetében a hibrid eszköztár a rezsim túlélését és a szomszédos EU/NATO környezet destabilizálását támogatja, a Ghostwriter-szerű információmanipulációval pedig a bizalom eróziója a cél. Ezzel rokon logika jelenik meg a kínai kötődésű transznacionális elnyomásban is, ahol a műveletek nem feltétlen malware-re épülnek, hanem médiának/NGO-nak álcázott kapcsolati hálóval és „lopott narratívákkal” viszik rá a célpontokat a további együttműködésre. A kriminalisztikai oldalon a Scattered Spider és a BlueNoroff mintázata mutatja, hogy a szervezeteket leggyakrabban nem a legbonyolultabb sérülékenység, hanem a helpdesk/azonosítási folyamatok és az emberi döntési pontok törik meg: a telefonos és online </w:t>
            </w:r>
            <w:r w:rsidR="00541556">
              <w:t>megszemélyesítés</w:t>
            </w:r>
            <w:r w:rsidRPr="00A502A8">
              <w:t xml:space="preserve">, illetve a deepfake-kel támogatott „üzleti </w:t>
            </w:r>
            <w:r w:rsidR="00541556">
              <w:t>környezetbe</w:t>
            </w:r>
            <w:r w:rsidRPr="00A502A8">
              <w:t>” csomagolt rábeszélés üzemszerűen skálázható.</w:t>
            </w:r>
          </w:p>
          <w:p w14:paraId="037F5D67" w14:textId="77777777" w:rsidR="00A502A8" w:rsidRDefault="00A502A8" w:rsidP="007E4FF7"/>
          <w:p w14:paraId="33724CE0" w14:textId="40DFFA07" w:rsidR="00A502A8" w:rsidRPr="002556AE" w:rsidRDefault="00A502A8" w:rsidP="007E4FF7">
            <w:r w:rsidRPr="00A502A8">
              <w:t xml:space="preserve">A „ki támad” kérdése mellett egyre fontosabb, hogy hol épül a bizalom a szervezetben: ügyfélszolgálat, IT helpdesk, beszállítói csatornák, vezetői kommunikáció. A védekezés hatásossága azon múlik, hogy ezekben a csomópontokban mennyire </w:t>
            </w:r>
            <w:r w:rsidR="00541556">
              <w:t>tudatosak az érintett felhasználók.</w:t>
            </w:r>
          </w:p>
        </w:tc>
      </w:tr>
    </w:tbl>
    <w:p w14:paraId="3EA218A0" w14:textId="77777777" w:rsidR="001E350F" w:rsidRDefault="001E350F">
      <w:r>
        <w:br w:type="page"/>
      </w:r>
    </w:p>
    <w:p w14:paraId="7F5EF020" w14:textId="77777777" w:rsidR="002556AE" w:rsidRDefault="002556AE"/>
    <w:tbl>
      <w:tblPr>
        <w:tblStyle w:val="TableGrid"/>
        <w:tblpPr w:leftFromText="180" w:rightFromText="180" w:vertAnchor="text" w:horzAnchor="margin" w:tblpY="202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2556AE" w14:paraId="290EBA47" w14:textId="77777777" w:rsidTr="002556AE">
        <w:tc>
          <w:tcPr>
            <w:tcW w:w="9061" w:type="dxa"/>
            <w:gridSpan w:val="2"/>
            <w:shd w:val="clear" w:color="auto" w:fill="FF3F5A"/>
          </w:tcPr>
          <w:p w14:paraId="1A577ACD" w14:textId="3ABA4D07" w:rsidR="002556AE" w:rsidRPr="007E4FF7" w:rsidRDefault="002556AE" w:rsidP="002556AE">
            <w:pPr>
              <w:rPr>
                <w:sz w:val="32"/>
                <w:szCs w:val="32"/>
                <w:lang w:val="hu-HU"/>
              </w:rPr>
            </w:pPr>
            <w:r w:rsidRPr="007E4FF7">
              <w:rPr>
                <w:sz w:val="32"/>
                <w:szCs w:val="32"/>
              </w:rPr>
              <w:t>Támadási technikák és malware</w:t>
            </w:r>
          </w:p>
        </w:tc>
      </w:tr>
      <w:tr w:rsidR="007E4FF7" w14:paraId="40AEE144" w14:textId="77777777" w:rsidTr="001B4A64">
        <w:tc>
          <w:tcPr>
            <w:tcW w:w="4530" w:type="dxa"/>
            <w:shd w:val="clear" w:color="auto" w:fill="000000" w:themeFill="text1"/>
          </w:tcPr>
          <w:p w14:paraId="236AE721" w14:textId="77777777" w:rsidR="000E468D" w:rsidRDefault="000E468D" w:rsidP="007E4FF7">
            <w:pPr>
              <w:rPr>
                <w:b/>
                <w:bCs/>
              </w:rPr>
            </w:pPr>
          </w:p>
          <w:p w14:paraId="05B3626B" w14:textId="467AE876" w:rsidR="007E4FF7" w:rsidRPr="00A502A8" w:rsidRDefault="007E4FF7" w:rsidP="007E4FF7">
            <w:r w:rsidRPr="003E09E4">
              <w:rPr>
                <w:b/>
                <w:bCs/>
              </w:rPr>
              <w:t>Fő trend:</w:t>
            </w:r>
            <w:r w:rsidR="00A502A8">
              <w:rPr>
                <w:b/>
                <w:bCs/>
              </w:rPr>
              <w:t xml:space="preserve"> </w:t>
            </w:r>
            <w:r w:rsidR="00A502A8" w:rsidRPr="00A502A8">
              <w:t>A támadási láncok legnagyobb áttörései a credential-ek megszerzésén és a szoftverellátási lánc „legitim” folyamataiban történnek.</w:t>
            </w:r>
          </w:p>
          <w:p w14:paraId="27290CBE" w14:textId="77777777" w:rsidR="000E468D" w:rsidRPr="003E09E4" w:rsidRDefault="000E468D" w:rsidP="007E4FF7"/>
          <w:p w14:paraId="2B894072" w14:textId="77777777" w:rsidR="007E4FF7" w:rsidRPr="002556AE" w:rsidRDefault="007E4FF7" w:rsidP="002556AE"/>
        </w:tc>
        <w:tc>
          <w:tcPr>
            <w:tcW w:w="4531" w:type="dxa"/>
            <w:shd w:val="clear" w:color="auto" w:fill="000000" w:themeFill="text1"/>
          </w:tcPr>
          <w:p w14:paraId="1ED7323C" w14:textId="16FAB89E" w:rsidR="007E4FF7" w:rsidRPr="002556AE" w:rsidRDefault="007E4FF7" w:rsidP="002556AE"/>
        </w:tc>
      </w:tr>
      <w:tr w:rsidR="003E09E4" w14:paraId="3F714430" w14:textId="77777777" w:rsidTr="002556AE">
        <w:tc>
          <w:tcPr>
            <w:tcW w:w="9061" w:type="dxa"/>
            <w:gridSpan w:val="2"/>
            <w:shd w:val="clear" w:color="auto" w:fill="FF3F5A"/>
          </w:tcPr>
          <w:p w14:paraId="625B9DB6" w14:textId="77777777" w:rsidR="003E09E4" w:rsidRDefault="00A502A8" w:rsidP="003E09E4">
            <w:r w:rsidRPr="00A502A8">
              <w:t>A szoftver- és felhőfejlesztési környezetekben több irányból egyszerre nő a kitettség: az npm ökoszisztémában kompromittált csomagoknál a telepítési életciklus (preinstall) korai futtatása megkerüli a hagyományos kontrollok egy részét, így a támadó kód „normál frissítésként” érkezik, majd tokeneket és titkokat gyűjt a build pipeline-okból. Ugyanezt az üzleti logikát látjuk a CI/CD manipulációval járó ellátási lánc incidenseknél is: a cél nem egyszeri kompromittáció, hanem hozzáférési anyag (token, kulcs, konfiguráció) kinyerése, amivel a támadó további rendszereket ér el és a terjedést fenntartja. A sérülékenységi oldalon a fejlesztői és AI-infrastruktúra „magpontjai” kerülnek fókuszba: a GitHub-szerű kódplatformok backend feldolgozási lánca, illetve az LLM gateway-k hitelesítési folyamata (SQL injection) azért kritikus, mert egy sikeres támadás egyszerre érinti a forráskódot, a titkokat és a felhőhozzáféréseket. Közben a klasszikus zsarolóvírus-ökoszisztémában is megjelenik egy kockázatos mellékhatás: hibás implementáció miatt a „ransomware” gyakorlatilag wiper viselkedést vehet fel, vagyis a helyreállítás tárgyalásos útja is elvész.</w:t>
            </w:r>
          </w:p>
          <w:p w14:paraId="70272ECA" w14:textId="77777777" w:rsidR="00A502A8" w:rsidRDefault="00A502A8" w:rsidP="003E09E4"/>
          <w:p w14:paraId="243C7C17" w14:textId="5D814094" w:rsidR="00A502A8" w:rsidRPr="002556AE" w:rsidRDefault="00A502A8" w:rsidP="003E09E4">
            <w:r w:rsidRPr="00A502A8">
              <w:t>A fejlesztési és AI-átjáró komponensek ma már nem „IT belső eszközök”, hanem üzletkritikus hozzáférési központok. A legnagyobb kockázat a titkok és tokenek kiszivárgása, mert ebből gyorsan lesz tartós, láncszerű kompromittáció több környezetben.</w:t>
            </w:r>
          </w:p>
        </w:tc>
      </w:tr>
    </w:tbl>
    <w:p w14:paraId="34E60CF9" w14:textId="380BF606" w:rsidR="007E4FF7" w:rsidRDefault="007E4FF7">
      <w:pPr>
        <w:rPr>
          <w:lang w:val="hu-HU"/>
        </w:rPr>
      </w:pPr>
    </w:p>
    <w:tbl>
      <w:tblPr>
        <w:tblStyle w:val="TableGrid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6C75A8" w14:paraId="55FEB024" w14:textId="77777777" w:rsidTr="006C75A8">
        <w:tc>
          <w:tcPr>
            <w:tcW w:w="9061" w:type="dxa"/>
            <w:gridSpan w:val="2"/>
            <w:shd w:val="clear" w:color="auto" w:fill="FF3F5A"/>
          </w:tcPr>
          <w:p w14:paraId="7BB125A9" w14:textId="0BDBA8EB" w:rsidR="006C75A8" w:rsidRPr="007E4FF7" w:rsidRDefault="002556AE">
            <w:pPr>
              <w:rPr>
                <w:sz w:val="32"/>
                <w:szCs w:val="32"/>
                <w:lang w:val="hu-HU"/>
              </w:rPr>
            </w:pPr>
            <w:r w:rsidRPr="007E4FF7">
              <w:rPr>
                <w:sz w:val="32"/>
                <w:szCs w:val="32"/>
              </w:rPr>
              <w:t>OT / Kritikus infrastruktúra</w:t>
            </w:r>
          </w:p>
        </w:tc>
      </w:tr>
      <w:tr w:rsidR="007E4FF7" w14:paraId="71C38C55" w14:textId="77777777" w:rsidTr="00256051">
        <w:tc>
          <w:tcPr>
            <w:tcW w:w="4530" w:type="dxa"/>
            <w:shd w:val="clear" w:color="auto" w:fill="000000" w:themeFill="text1"/>
          </w:tcPr>
          <w:p w14:paraId="4C085818" w14:textId="77777777" w:rsidR="000E468D" w:rsidRDefault="000E468D" w:rsidP="007E4FF7">
            <w:pPr>
              <w:rPr>
                <w:b/>
                <w:bCs/>
              </w:rPr>
            </w:pPr>
          </w:p>
          <w:p w14:paraId="025F62EE" w14:textId="3D02521A" w:rsidR="007E4FF7" w:rsidRDefault="007E4FF7" w:rsidP="007E4FF7">
            <w:r w:rsidRPr="007E4FF7">
              <w:rPr>
                <w:b/>
                <w:bCs/>
              </w:rPr>
              <w:t>Fő trend:</w:t>
            </w:r>
            <w:r w:rsidRPr="007E4FF7">
              <w:t xml:space="preserve"> </w:t>
            </w:r>
            <w:r w:rsidR="00A502A8" w:rsidRPr="00A502A8">
              <w:t>Az OT-kockázat egyre kevésbé a vezérlőteremről szól, és egyre inkább a szétszórt, internethez közel kerülő eszközök és a vállalati–OT függőségek támadási felületéről.</w:t>
            </w:r>
          </w:p>
          <w:p w14:paraId="654D58F4" w14:textId="77777777" w:rsidR="000E468D" w:rsidRPr="007E4FF7" w:rsidRDefault="000E468D" w:rsidP="007E4FF7"/>
          <w:p w14:paraId="3D759A80" w14:textId="77777777" w:rsidR="007E4FF7" w:rsidRPr="002556AE" w:rsidRDefault="007E4FF7"/>
        </w:tc>
        <w:tc>
          <w:tcPr>
            <w:tcW w:w="4531" w:type="dxa"/>
            <w:shd w:val="clear" w:color="auto" w:fill="000000" w:themeFill="text1"/>
          </w:tcPr>
          <w:p w14:paraId="4BF78559" w14:textId="5BD60B1F" w:rsidR="007E4FF7" w:rsidRPr="002556AE" w:rsidRDefault="007E4FF7"/>
        </w:tc>
      </w:tr>
      <w:tr w:rsidR="007E4FF7" w14:paraId="3E9AAF9E" w14:textId="77777777" w:rsidTr="006C75A8">
        <w:tc>
          <w:tcPr>
            <w:tcW w:w="9061" w:type="dxa"/>
            <w:gridSpan w:val="2"/>
            <w:shd w:val="clear" w:color="auto" w:fill="FF3F5A"/>
          </w:tcPr>
          <w:p w14:paraId="3B49BE81" w14:textId="0082B299" w:rsidR="007E4FF7" w:rsidRDefault="00A502A8" w:rsidP="007E4FF7">
            <w:r w:rsidRPr="00A502A8">
              <w:t>Az energiaágazati képet a romboló és zavaró műveletek lehetősége határozza meg: a kampányok a kommunikációs infrastruktúrát és a távoli, megújuló</w:t>
            </w:r>
            <w:r w:rsidR="00541556">
              <w:t xml:space="preserve">-energia termelő </w:t>
            </w:r>
            <w:r w:rsidRPr="00A502A8">
              <w:t>létesítményeket is érinthetik úgy, hogy még egy „rövid” zavar is komoly üzemmeneti és reputációs kockázatot hoz</w:t>
            </w:r>
            <w:r w:rsidR="00541556">
              <w:t>hat</w:t>
            </w:r>
            <w:r w:rsidRPr="00A502A8">
              <w:t xml:space="preserve"> kritikus időszakokban. Kiemelten veszélyes, amikor internet felől elérhető vagy gyengén védett PLC-k és OT-eszközök kerülnek célkeresztbe, mert itt a támadó nem csak adatot lop, hanem a vezérlési logikába vagy a kezelői képernyőbe nyúlhat bele. Ezzel összefüggésben az OT-felderítő és vizualizációs eszközöket érintő sérülékenységek stratégiai jelentőségűek: ha a támadó hozzáfér a topológiához, eszközlistákhoz és kommunikációs mintákhoz, az felderítési fölényt ad</w:t>
            </w:r>
            <w:r w:rsidR="00541556">
              <w:t>,</w:t>
            </w:r>
            <w:r w:rsidRPr="00A502A8">
              <w:t xml:space="preserve"> és megalapozza a célzott </w:t>
            </w:r>
            <w:r w:rsidR="00541556">
              <w:t>támadások lehetőségét</w:t>
            </w:r>
            <w:r w:rsidRPr="00A502A8">
              <w:t>.</w:t>
            </w:r>
          </w:p>
          <w:p w14:paraId="7B857E52" w14:textId="77777777" w:rsidR="00A502A8" w:rsidRDefault="00A502A8" w:rsidP="007E4FF7"/>
          <w:p w14:paraId="69821634" w14:textId="24A5E959" w:rsidR="00A502A8" w:rsidRPr="002556AE" w:rsidRDefault="00A502A8" w:rsidP="007E4FF7">
            <w:r w:rsidRPr="00A502A8">
              <w:t>A kritikus infrastruktúrában a „láthatóság” maga is támadási célpont: ha a felderítés, a távoli hozzáférés vagy az OT-eszközök internetes kitettsége nincs kontroll alatt, akkor a kockázat gyorsan átbillenhet üzemzavar-szcenáriókba, nem csak információbiztonsági incidensekbe.</w:t>
            </w:r>
          </w:p>
        </w:tc>
      </w:tr>
    </w:tbl>
    <w:p w14:paraId="352390E4" w14:textId="77777777" w:rsidR="006C75A8" w:rsidRDefault="006C75A8">
      <w:pPr>
        <w:rPr>
          <w:lang w:val="hu-HU"/>
        </w:rPr>
      </w:pPr>
    </w:p>
    <w:tbl>
      <w:tblPr>
        <w:tblStyle w:val="TableGrid"/>
        <w:tblpPr w:leftFromText="180" w:rightFromText="180" w:vertAnchor="text" w:horzAnchor="margin" w:tblpY="202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2556AE" w14:paraId="62D99BD3" w14:textId="77777777" w:rsidTr="0099062D">
        <w:tc>
          <w:tcPr>
            <w:tcW w:w="9061" w:type="dxa"/>
            <w:gridSpan w:val="2"/>
            <w:shd w:val="clear" w:color="auto" w:fill="FF3F5A"/>
          </w:tcPr>
          <w:p w14:paraId="3BFFE3F9" w14:textId="127E85BD" w:rsidR="002556AE" w:rsidRPr="007E4FF7" w:rsidRDefault="002556AE" w:rsidP="0099062D">
            <w:pPr>
              <w:rPr>
                <w:sz w:val="32"/>
                <w:szCs w:val="32"/>
                <w:lang w:val="hu-HU"/>
              </w:rPr>
            </w:pPr>
            <w:r w:rsidRPr="007E4FF7">
              <w:rPr>
                <w:sz w:val="32"/>
                <w:szCs w:val="32"/>
              </w:rPr>
              <w:t>Kiberbiztonsági irányítás, védelem és policy</w:t>
            </w:r>
          </w:p>
        </w:tc>
      </w:tr>
      <w:tr w:rsidR="007E4FF7" w14:paraId="0BD4D6BB" w14:textId="77777777" w:rsidTr="005431ED">
        <w:tc>
          <w:tcPr>
            <w:tcW w:w="4530" w:type="dxa"/>
            <w:shd w:val="clear" w:color="auto" w:fill="000000" w:themeFill="text1"/>
          </w:tcPr>
          <w:p w14:paraId="220FE5DA" w14:textId="77777777" w:rsidR="000E468D" w:rsidRDefault="000E468D" w:rsidP="007E4FF7">
            <w:pPr>
              <w:rPr>
                <w:b/>
                <w:bCs/>
              </w:rPr>
            </w:pPr>
          </w:p>
          <w:p w14:paraId="6F32BCD3" w14:textId="310A40A5" w:rsidR="007E4FF7" w:rsidRDefault="007E4FF7" w:rsidP="007E4FF7">
            <w:r w:rsidRPr="007E4FF7">
              <w:rPr>
                <w:b/>
                <w:bCs/>
              </w:rPr>
              <w:t>Fő trend:</w:t>
            </w:r>
            <w:r w:rsidRPr="007E4FF7">
              <w:t xml:space="preserve"> </w:t>
            </w:r>
            <w:r w:rsidR="00A502A8" w:rsidRPr="00A502A8">
              <w:t>A governance fókusza a digitális szuverenitás, beszállítói kockázat és a rejtett kitettségek felé tolódik.</w:t>
            </w:r>
          </w:p>
          <w:p w14:paraId="0E497254" w14:textId="77777777" w:rsidR="000E468D" w:rsidRPr="007E4FF7" w:rsidRDefault="000E468D" w:rsidP="007E4FF7"/>
          <w:p w14:paraId="3B783249" w14:textId="77777777" w:rsidR="007E4FF7" w:rsidRPr="002556AE" w:rsidRDefault="007E4FF7" w:rsidP="0099062D"/>
        </w:tc>
        <w:tc>
          <w:tcPr>
            <w:tcW w:w="4531" w:type="dxa"/>
            <w:shd w:val="clear" w:color="auto" w:fill="000000" w:themeFill="text1"/>
          </w:tcPr>
          <w:p w14:paraId="76A3FAAE" w14:textId="16B867F0" w:rsidR="007E4FF7" w:rsidRPr="002556AE" w:rsidRDefault="007E4FF7" w:rsidP="0099062D"/>
        </w:tc>
      </w:tr>
      <w:tr w:rsidR="007E4FF7" w14:paraId="5AC788F8" w14:textId="77777777" w:rsidTr="0099062D">
        <w:tc>
          <w:tcPr>
            <w:tcW w:w="9061" w:type="dxa"/>
            <w:gridSpan w:val="2"/>
            <w:shd w:val="clear" w:color="auto" w:fill="FF3F5A"/>
          </w:tcPr>
          <w:p w14:paraId="36387C8C" w14:textId="6D03D43C" w:rsidR="007E4FF7" w:rsidRDefault="00A502A8" w:rsidP="007E4FF7">
            <w:r w:rsidRPr="00A502A8">
              <w:t xml:space="preserve">A döntéshozói szinten jól látszik, hogy a kommunikációs platformok kiválasztása már nem pusztán titkosítási kérdés, hanem üzemeltetési kontroll, auditálhatóság és metaadat-kezelés; ez a logika jelenik meg a szuverenitási megfontolásokból újragondolt üzenetküldő stratégiákban. Ezzel párhuzamosan a beszállítói és SaaS-integrációs kockázat a gyakorlatban is </w:t>
            </w:r>
            <w:r w:rsidR="00F67910">
              <w:t>valóságossá válhat</w:t>
            </w:r>
            <w:r w:rsidRPr="00A502A8">
              <w:t>: ha egy harmadik fél analitikai komponense kompromittálódik, az közvetlen szolgáltató-feltörés nélkül is adat-hozzáférést eredményezhet. A sebezhetőségi menedzsment oldalán külön kockázat, amikor a javítás létezik, de a biztonsági jelleg nem egyértelműen kommunikált, így a frissítési prioritás hibásan alakulhat. Mindezt összeadva: a szervezeteknek az identitásfolyamatok, a fejlesztői ellátási lánc és a beszállítói integrációk mentén kell egységes kontrollrendszert építeniük, mert ezek a területek összekapcsolódva adják a legtöbb „csendes” belépési utat.</w:t>
            </w:r>
          </w:p>
          <w:p w14:paraId="44875371" w14:textId="77777777" w:rsidR="00A502A8" w:rsidRDefault="00A502A8" w:rsidP="007E4FF7"/>
          <w:p w14:paraId="1B8BBC67" w14:textId="065FC339" w:rsidR="00A502A8" w:rsidRPr="002556AE" w:rsidRDefault="00A502A8" w:rsidP="007E4FF7">
            <w:r w:rsidRPr="00A502A8">
              <w:t>A kiberbiztonsági irányítás akkor lesz hatékony, ha a „platformválasztás–beszállító–identitás–patch” négyest egy kockázati láncként kezeli. A következő incidensek nagy része várhatóan nem egyetlen látványos exploitból, hanem több, önmagában „kis” kontrollrés összekapcsolódásából fog felépülni.</w:t>
            </w:r>
          </w:p>
        </w:tc>
      </w:tr>
    </w:tbl>
    <w:p w14:paraId="30C39DDD" w14:textId="77777777" w:rsidR="002556AE" w:rsidRDefault="002556AE">
      <w:pPr>
        <w:rPr>
          <w:lang w:val="hu-HU"/>
        </w:rPr>
      </w:pPr>
    </w:p>
    <w:p w14:paraId="796E9CC7" w14:textId="77777777" w:rsidR="002556AE" w:rsidRPr="006C75A8" w:rsidRDefault="002556AE">
      <w:pPr>
        <w:rPr>
          <w:lang w:val="hu-HU"/>
        </w:rPr>
      </w:pPr>
    </w:p>
    <w:sectPr w:rsidR="002556AE" w:rsidRPr="006C75A8" w:rsidSect="00A17B1C">
      <w:headerReference w:type="default" r:id="rId6"/>
      <w:pgSz w:w="11906" w:h="16838"/>
      <w:pgMar w:top="1417" w:right="1134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F9E06" w14:textId="77777777" w:rsidR="00C802B1" w:rsidRDefault="00C802B1" w:rsidP="00A01658">
      <w:pPr>
        <w:spacing w:after="0" w:line="240" w:lineRule="auto"/>
      </w:pPr>
      <w:r>
        <w:separator/>
      </w:r>
    </w:p>
  </w:endnote>
  <w:endnote w:type="continuationSeparator" w:id="0">
    <w:p w14:paraId="1852902D" w14:textId="77777777" w:rsidR="00C802B1" w:rsidRDefault="00C802B1" w:rsidP="00A01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CE02D" w14:textId="77777777" w:rsidR="00C802B1" w:rsidRDefault="00C802B1" w:rsidP="00A01658">
      <w:pPr>
        <w:spacing w:after="0" w:line="240" w:lineRule="auto"/>
      </w:pPr>
      <w:r>
        <w:separator/>
      </w:r>
    </w:p>
  </w:footnote>
  <w:footnote w:type="continuationSeparator" w:id="0">
    <w:p w14:paraId="150280F9" w14:textId="77777777" w:rsidR="00C802B1" w:rsidRDefault="00C802B1" w:rsidP="00A01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Ind w:w="-1139" w:type="dxa"/>
      <w:tblLook w:val="04A0" w:firstRow="1" w:lastRow="0" w:firstColumn="1" w:lastColumn="0" w:noHBand="0" w:noVBand="1"/>
    </w:tblPr>
    <w:tblGrid>
      <w:gridCol w:w="1129"/>
      <w:gridCol w:w="6242"/>
      <w:gridCol w:w="2835"/>
    </w:tblGrid>
    <w:tr w:rsidR="00A01658" w14:paraId="22D86D0C" w14:textId="77777777" w:rsidTr="000E468D">
      <w:tc>
        <w:tcPr>
          <w:tcW w:w="1129" w:type="dxa"/>
        </w:tcPr>
        <w:p w14:paraId="74F06CFE" w14:textId="49DBD956" w:rsidR="00A01658" w:rsidRDefault="00A01658" w:rsidP="00A01658">
          <w:pPr>
            <w:pStyle w:val="Header"/>
          </w:pPr>
          <w:r>
            <w:rPr>
              <w:noProof/>
            </w:rPr>
            <w:drawing>
              <wp:inline distT="0" distB="0" distL="0" distR="0" wp14:anchorId="122D9289" wp14:editId="3CDE480C">
                <wp:extent cx="519113" cy="519113"/>
                <wp:effectExtent l="0" t="0" r="0" b="0"/>
                <wp:docPr id="1272531076" name="Picture 4" descr="A letter y with cracked paint on i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531076" name="Picture 4" descr="A letter y with cracked paint on it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034" cy="529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42" w:type="dxa"/>
        </w:tcPr>
        <w:p w14:paraId="34625651" w14:textId="77777777" w:rsidR="00A01658" w:rsidRPr="00A01658" w:rsidRDefault="00A01658" w:rsidP="000E468D">
          <w:pPr>
            <w:pStyle w:val="Header"/>
            <w:ind w:firstLine="1737"/>
            <w:jc w:val="center"/>
            <w:rPr>
              <w:sz w:val="36"/>
              <w:szCs w:val="36"/>
            </w:rPr>
          </w:pPr>
          <w:r w:rsidRPr="00A01658">
            <w:rPr>
              <w:sz w:val="36"/>
              <w:szCs w:val="36"/>
            </w:rPr>
            <w:t>YANAC</w:t>
          </w:r>
        </w:p>
        <w:p w14:paraId="46923BC4" w14:textId="3B4CF854" w:rsidR="00A01658" w:rsidRDefault="00A01658" w:rsidP="000E468D">
          <w:pPr>
            <w:pStyle w:val="Header"/>
            <w:ind w:firstLine="1737"/>
            <w:jc w:val="center"/>
          </w:pPr>
          <w:r w:rsidRPr="00A01658">
            <w:rPr>
              <w:sz w:val="36"/>
              <w:szCs w:val="36"/>
            </w:rPr>
            <w:t>Heti összefoglaló</w:t>
          </w:r>
        </w:p>
      </w:tc>
      <w:tc>
        <w:tcPr>
          <w:tcW w:w="2835" w:type="dxa"/>
          <w:vAlign w:val="bottom"/>
        </w:tcPr>
        <w:p w14:paraId="730BB2D4" w14:textId="01295F3F" w:rsidR="00A01658" w:rsidRPr="00A01658" w:rsidRDefault="00A01658" w:rsidP="000E468D">
          <w:pPr>
            <w:pStyle w:val="Header"/>
            <w:jc w:val="right"/>
            <w:rPr>
              <w:sz w:val="28"/>
              <w:szCs w:val="28"/>
            </w:rPr>
          </w:pPr>
          <w:r w:rsidRPr="00A01658">
            <w:rPr>
              <w:sz w:val="28"/>
              <w:szCs w:val="28"/>
            </w:rPr>
            <w:t xml:space="preserve">2026. </w:t>
          </w:r>
          <w:r w:rsidR="00026A85">
            <w:rPr>
              <w:sz w:val="28"/>
              <w:szCs w:val="28"/>
            </w:rPr>
            <w:t>április</w:t>
          </w:r>
          <w:r w:rsidRPr="00A01658">
            <w:rPr>
              <w:sz w:val="28"/>
              <w:szCs w:val="28"/>
            </w:rPr>
            <w:t xml:space="preserve"> </w:t>
          </w:r>
          <w:r w:rsidR="00026A85">
            <w:rPr>
              <w:sz w:val="28"/>
              <w:szCs w:val="28"/>
            </w:rPr>
            <w:t>30</w:t>
          </w:r>
          <w:r w:rsidRPr="00A01658">
            <w:rPr>
              <w:sz w:val="28"/>
              <w:szCs w:val="28"/>
            </w:rPr>
            <w:t xml:space="preserve">., </w:t>
          </w:r>
          <w:r w:rsidR="00026A85">
            <w:rPr>
              <w:sz w:val="28"/>
              <w:szCs w:val="28"/>
            </w:rPr>
            <w:t>csütörtök</w:t>
          </w:r>
        </w:p>
      </w:tc>
    </w:tr>
  </w:tbl>
  <w:p w14:paraId="132FB8BC" w14:textId="1E626AC2" w:rsidR="00A01658" w:rsidRPr="00A01658" w:rsidRDefault="00A01658" w:rsidP="00A016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58"/>
    <w:rsid w:val="00026A85"/>
    <w:rsid w:val="00042204"/>
    <w:rsid w:val="000E468D"/>
    <w:rsid w:val="001E350F"/>
    <w:rsid w:val="002458F8"/>
    <w:rsid w:val="002556AE"/>
    <w:rsid w:val="003E09E4"/>
    <w:rsid w:val="004F2FDD"/>
    <w:rsid w:val="0053475C"/>
    <w:rsid w:val="00541556"/>
    <w:rsid w:val="006C75A8"/>
    <w:rsid w:val="006D1B9E"/>
    <w:rsid w:val="007224A0"/>
    <w:rsid w:val="007E4FF7"/>
    <w:rsid w:val="00827256"/>
    <w:rsid w:val="00A01658"/>
    <w:rsid w:val="00A17B1C"/>
    <w:rsid w:val="00A502A8"/>
    <w:rsid w:val="00A55424"/>
    <w:rsid w:val="00A92C25"/>
    <w:rsid w:val="00B928D7"/>
    <w:rsid w:val="00C65FD8"/>
    <w:rsid w:val="00C802B1"/>
    <w:rsid w:val="00DE53B9"/>
    <w:rsid w:val="00EA7DC0"/>
    <w:rsid w:val="00F0598B"/>
    <w:rsid w:val="00F67910"/>
    <w:rsid w:val="00FA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00B7E"/>
  <w15:chartTrackingRefBased/>
  <w15:docId w15:val="{295691C8-F77E-48D3-BACE-B0BF5872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FFFFFF" w:themeColor="background1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6AE"/>
  </w:style>
  <w:style w:type="paragraph" w:styleId="Heading1">
    <w:name w:val="heading 1"/>
    <w:basedOn w:val="Normal"/>
    <w:next w:val="Normal"/>
    <w:link w:val="Heading1Char"/>
    <w:uiPriority w:val="9"/>
    <w:qFormat/>
    <w:rsid w:val="00A0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6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6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6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6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6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6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6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65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A0165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658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658"/>
    <w:rPr>
      <w:rFonts w:asciiTheme="minorHAnsi" w:eastAsiaTheme="majorEastAsia" w:hAnsiTheme="minorHAnsi" w:cstheme="majorBidi"/>
      <w:i/>
      <w:iCs/>
      <w:color w:val="2F5496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658"/>
    <w:rPr>
      <w:rFonts w:asciiTheme="minorHAnsi" w:eastAsiaTheme="majorEastAsia" w:hAnsiTheme="minorHAnsi" w:cstheme="majorBidi"/>
      <w:color w:val="2F5496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658"/>
    <w:rPr>
      <w:rFonts w:asciiTheme="minorHAnsi" w:eastAsiaTheme="majorEastAsia" w:hAnsiTheme="minorHAnsi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658"/>
    <w:rPr>
      <w:rFonts w:asciiTheme="minorHAnsi" w:eastAsiaTheme="majorEastAsia" w:hAnsiTheme="minorHAnsi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658"/>
    <w:rPr>
      <w:rFonts w:asciiTheme="minorHAnsi" w:eastAsiaTheme="majorEastAsia" w:hAnsiTheme="minorHAnsi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658"/>
    <w:rPr>
      <w:rFonts w:asciiTheme="minorHAnsi" w:eastAsiaTheme="majorEastAsia" w:hAnsiTheme="minorHAnsi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A01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658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6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6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A01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658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A01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658"/>
    <w:rPr>
      <w:i/>
      <w:iCs/>
      <w:color w:val="2F5496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A016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6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658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A016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658"/>
    <w:rPr>
      <w:lang w:val="hu-HU"/>
    </w:rPr>
  </w:style>
  <w:style w:type="table" w:styleId="TableGrid">
    <w:name w:val="Table Grid"/>
    <w:basedOn w:val="TableNormal"/>
    <w:uiPriority w:val="39"/>
    <w:rsid w:val="00A01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Biró Péter</dc:creator>
  <cp:keywords/>
  <dc:description/>
  <cp:lastModifiedBy>Peter Biro</cp:lastModifiedBy>
  <cp:revision>5</cp:revision>
  <cp:lastPrinted>2026-02-17T19:55:00Z</cp:lastPrinted>
  <dcterms:created xsi:type="dcterms:W3CDTF">2026-04-30T16:18:00Z</dcterms:created>
  <dcterms:modified xsi:type="dcterms:W3CDTF">2026-04-30T16:29:00Z</dcterms:modified>
</cp:coreProperties>
</file>