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261774B5" w14:textId="77777777" w:rsidR="002556AE" w:rsidRPr="008E627B" w:rsidRDefault="002556AE">
      <w:pPr>
        <w:rPr>
          <w:lang w:val="hu-H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0E468D" w:rsidRPr="008E627B" w14:paraId="4DA349D1" w14:textId="77777777" w:rsidTr="000E468D">
        <w:tc>
          <w:tcPr>
            <w:tcW w:w="9061" w:type="dxa"/>
            <w:shd w:val="clear" w:color="auto" w:fill="FF3F5A"/>
          </w:tcPr>
          <w:p w14:paraId="725BFA6E" w14:textId="3304341F" w:rsidR="000E468D" w:rsidRPr="008E627B" w:rsidRDefault="000E468D" w:rsidP="000E468D">
            <w:pPr>
              <w:rPr>
                <w:b/>
                <w:bCs/>
                <w:sz w:val="32"/>
                <w:szCs w:val="32"/>
                <w:lang w:val="hu-HU"/>
              </w:rPr>
            </w:pPr>
            <w:r w:rsidRPr="008E627B">
              <w:rPr>
                <w:b/>
                <w:bCs/>
                <w:sz w:val="32"/>
                <w:szCs w:val="32"/>
                <w:lang w:val="hu-HU"/>
              </w:rPr>
              <w:t>Heti kitekintés</w:t>
            </w:r>
          </w:p>
        </w:tc>
      </w:tr>
      <w:tr w:rsidR="000E468D" w:rsidRPr="008E627B" w14:paraId="116743D9" w14:textId="77777777" w:rsidTr="000E468D">
        <w:tc>
          <w:tcPr>
            <w:tcW w:w="9061" w:type="dxa"/>
            <w:shd w:val="clear" w:color="auto" w:fill="000000" w:themeFill="text1"/>
          </w:tcPr>
          <w:p w14:paraId="7C923E26" w14:textId="77777777" w:rsidR="000E468D" w:rsidRPr="008E627B" w:rsidRDefault="000E468D" w:rsidP="000E468D">
            <w:pPr>
              <w:rPr>
                <w:b/>
                <w:bCs/>
                <w:lang w:val="hu-HU"/>
              </w:rPr>
            </w:pPr>
          </w:p>
        </w:tc>
      </w:tr>
      <w:tr w:rsidR="000E468D" w:rsidRPr="008E627B" w14:paraId="09F8CD92" w14:textId="77777777" w:rsidTr="000E468D">
        <w:tc>
          <w:tcPr>
            <w:tcW w:w="9061" w:type="dxa"/>
            <w:shd w:val="clear" w:color="auto" w:fill="FF3F5A"/>
          </w:tcPr>
          <w:p w14:paraId="172F3B0B" w14:textId="39110E3E" w:rsidR="000E468D" w:rsidRPr="008E627B" w:rsidRDefault="00D20D56" w:rsidP="00D20D56">
            <w:pPr>
              <w:rPr>
                <w:lang w:val="hu-HU"/>
              </w:rPr>
            </w:pPr>
            <w:r w:rsidRPr="008E627B">
              <w:rPr>
                <w:lang w:val="hu-HU"/>
              </w:rPr>
              <w:t xml:space="preserve">A </w:t>
            </w:r>
            <w:r w:rsidR="008E627B">
              <w:rPr>
                <w:lang w:val="hu-HU"/>
              </w:rPr>
              <w:t xml:space="preserve">héten a </w:t>
            </w:r>
            <w:r w:rsidR="001A4527" w:rsidRPr="008E627B">
              <w:rPr>
                <w:lang w:val="hu-HU"/>
              </w:rPr>
              <w:t>„legitimnek látszó” támadási minták dominál</w:t>
            </w:r>
            <w:r w:rsidR="008E627B">
              <w:rPr>
                <w:lang w:val="hu-HU"/>
              </w:rPr>
              <w:t>tak</w:t>
            </w:r>
            <w:r w:rsidR="001A4527" w:rsidRPr="008E627B">
              <w:rPr>
                <w:lang w:val="hu-HU"/>
              </w:rPr>
              <w:t xml:space="preserve"> – legyen szó állami kiberkémkedésről, pénzügyi visszaélésekről vagy ellátási lánc kompromittálásról. A</w:t>
            </w:r>
            <w:r w:rsidR="008E627B">
              <w:rPr>
                <w:lang w:val="hu-HU"/>
              </w:rPr>
              <w:t> </w:t>
            </w:r>
            <w:r w:rsidR="001A4527" w:rsidRPr="008E627B">
              <w:rPr>
                <w:lang w:val="hu-HU"/>
              </w:rPr>
              <w:t>támadók egyre inkább megbízható csatornákat és funkciókat (OAuth, üzenetküldők, app store-ok, CI/CD) fordítanak ellenünk, miközben az OT/ICS fronton a fizikai hatású képességek közelebb kerülnek a mindennapi valósághoz.</w:t>
            </w:r>
          </w:p>
        </w:tc>
      </w:tr>
    </w:tbl>
    <w:p w14:paraId="0C786A70" w14:textId="77777777" w:rsidR="000E468D" w:rsidRPr="008E627B" w:rsidRDefault="000E468D">
      <w:pPr>
        <w:rPr>
          <w:lang w:val="hu-HU"/>
        </w:rPr>
      </w:pPr>
    </w:p>
    <w:tbl>
      <w:tblPr>
        <w:tblStyle w:val="TableGrid"/>
        <w:tblpPr w:leftFromText="180" w:rightFromText="180" w:vertAnchor="text" w:horzAnchor="margin" w:tblpY="202"/>
        <w:tblW w:w="0" w:type="auto"/>
        <w:shd w:val="clear" w:color="auto" w:fill="FF3F5A"/>
        <w:tblLook w:val="04A0" w:firstRow="1" w:lastRow="0" w:firstColumn="1" w:lastColumn="0" w:noHBand="0" w:noVBand="1"/>
      </w:tblPr>
      <w:tblGrid>
        <w:gridCol w:w="4530"/>
        <w:gridCol w:w="4531"/>
      </w:tblGrid>
      <w:tr w:rsidR="002556AE" w:rsidRPr="008E627B" w14:paraId="4EBE4094" w14:textId="77777777" w:rsidTr="0099062D">
        <w:tc>
          <w:tcPr>
            <w:tcW w:w="9061" w:type="dxa"/>
            <w:gridSpan w:val="2"/>
            <w:shd w:val="clear" w:color="auto" w:fill="FF3F5A"/>
          </w:tcPr>
          <w:p w14:paraId="32D92070" w14:textId="55052324" w:rsidR="002556AE" w:rsidRPr="008E627B" w:rsidRDefault="002556AE" w:rsidP="0099062D">
            <w:pPr>
              <w:rPr>
                <w:b/>
                <w:bCs/>
                <w:sz w:val="32"/>
                <w:szCs w:val="32"/>
                <w:lang w:val="hu-HU"/>
              </w:rPr>
            </w:pPr>
            <w:r w:rsidRPr="008E627B">
              <w:rPr>
                <w:b/>
                <w:bCs/>
                <w:sz w:val="32"/>
                <w:szCs w:val="32"/>
                <w:lang w:val="hu-HU"/>
              </w:rPr>
              <w:t>Fenyegetési szereplők és kampányok</w:t>
            </w:r>
          </w:p>
        </w:tc>
      </w:tr>
      <w:tr w:rsidR="007E4FF7" w:rsidRPr="008E627B" w14:paraId="6B79B6D8" w14:textId="77777777" w:rsidTr="00F435E0">
        <w:tc>
          <w:tcPr>
            <w:tcW w:w="4530" w:type="dxa"/>
            <w:shd w:val="clear" w:color="auto" w:fill="000000" w:themeFill="text1"/>
          </w:tcPr>
          <w:p w14:paraId="08577966" w14:textId="77777777" w:rsidR="000E468D" w:rsidRPr="008E627B" w:rsidRDefault="000E468D" w:rsidP="007E4FF7">
            <w:pPr>
              <w:rPr>
                <w:b/>
                <w:bCs/>
                <w:lang w:val="hu-HU"/>
              </w:rPr>
            </w:pPr>
          </w:p>
          <w:p w14:paraId="17374DE4" w14:textId="77777777" w:rsidR="000E468D" w:rsidRDefault="007E4FF7" w:rsidP="008E627B">
            <w:pPr>
              <w:rPr>
                <w:lang w:val="hu-HU"/>
              </w:rPr>
            </w:pPr>
            <w:r w:rsidRPr="008E627B">
              <w:rPr>
                <w:b/>
                <w:bCs/>
                <w:lang w:val="hu-HU"/>
              </w:rPr>
              <w:t>Fő trend</w:t>
            </w:r>
            <w:r w:rsidRPr="008E627B">
              <w:rPr>
                <w:lang w:val="hu-HU"/>
              </w:rPr>
              <w:t>:</w:t>
            </w:r>
            <w:r w:rsidR="00D20D56" w:rsidRPr="008E627B">
              <w:rPr>
                <w:lang w:val="hu-HU"/>
              </w:rPr>
              <w:t xml:space="preserve"> </w:t>
            </w:r>
            <w:r w:rsidR="001A4527" w:rsidRPr="008E627B">
              <w:rPr>
                <w:lang w:val="hu-HU"/>
              </w:rPr>
              <w:t>a nemzetállami és szervezett bűnözői szereplők a hozzáférést „szolgáltatásként” skálázzák, és a lebukás-kockázatot kompromittált infrastruktúrákkal, illetve pszichológiai műveletekkel csökkentik.</w:t>
            </w:r>
          </w:p>
          <w:p w14:paraId="743AF66A" w14:textId="12B0B98A" w:rsidR="008E627B" w:rsidRPr="008E627B" w:rsidRDefault="008E627B" w:rsidP="008E627B">
            <w:pPr>
              <w:rPr>
                <w:b/>
                <w:bCs/>
                <w:lang w:val="hu-HU"/>
              </w:rPr>
            </w:pPr>
          </w:p>
        </w:tc>
        <w:tc>
          <w:tcPr>
            <w:tcW w:w="4531" w:type="dxa"/>
            <w:shd w:val="clear" w:color="auto" w:fill="000000" w:themeFill="text1"/>
          </w:tcPr>
          <w:p w14:paraId="0661A814" w14:textId="0E15C533" w:rsidR="007E4FF7" w:rsidRPr="008E627B" w:rsidRDefault="007E4FF7" w:rsidP="007E4FF7">
            <w:pPr>
              <w:rPr>
                <w:b/>
                <w:bCs/>
                <w:lang w:val="hu-HU"/>
              </w:rPr>
            </w:pPr>
          </w:p>
        </w:tc>
      </w:tr>
      <w:tr w:rsidR="007E4FF7" w:rsidRPr="008E627B" w14:paraId="42FC0D95" w14:textId="77777777" w:rsidTr="0099062D">
        <w:tc>
          <w:tcPr>
            <w:tcW w:w="9061" w:type="dxa"/>
            <w:gridSpan w:val="2"/>
            <w:shd w:val="clear" w:color="auto" w:fill="FF3F5A"/>
          </w:tcPr>
          <w:p w14:paraId="6B55F022" w14:textId="77777777" w:rsidR="001A4527" w:rsidRPr="008E627B" w:rsidRDefault="001A4527" w:rsidP="001A4527">
            <w:pPr>
              <w:rPr>
                <w:lang w:val="hu-HU"/>
              </w:rPr>
            </w:pPr>
            <w:r w:rsidRPr="008E627B">
              <w:rPr>
                <w:lang w:val="hu-HU"/>
              </w:rPr>
              <w:t>A kínai kötődésű szereplők esetében jól látszik az iparosodott fedett hálózati réteg: tömegesen kompromittált SOHO/IoT eszközökből épített, dinamikusan cserélődő „proxy-övek” adják a tagadhatóságot és az attribúció elleni védelmet, miközben a teljes támadási lánc (felderítés–C2–exfil) erre támaszkodhat.</w:t>
            </w:r>
          </w:p>
          <w:p w14:paraId="5AEA2902" w14:textId="77777777" w:rsidR="001A4527" w:rsidRPr="008E627B" w:rsidRDefault="001A4527" w:rsidP="001A4527">
            <w:pPr>
              <w:rPr>
                <w:lang w:val="hu-HU"/>
              </w:rPr>
            </w:pPr>
            <w:r w:rsidRPr="008E627B">
              <w:rPr>
                <w:lang w:val="hu-HU"/>
              </w:rPr>
              <w:t>Ezzel párhuzamosan az orosz kiberkémkedés hosszú távú, identity- és e-mail-hozzáférésre építő modellje erősödik: a cél nem feltétlenül a „nagy robbanás”, hanem a szervezeti mintázatok, kapcsolati hálók és működési logika kitartó feltérképezése – NATO-kapcsolódású célkijelöléssel és több országra kiterjedő merítéssel.</w:t>
            </w:r>
          </w:p>
          <w:p w14:paraId="0A8684CB" w14:textId="77777777" w:rsidR="001A4527" w:rsidRPr="008E627B" w:rsidRDefault="001A4527" w:rsidP="001A4527">
            <w:pPr>
              <w:rPr>
                <w:lang w:val="hu-HU"/>
              </w:rPr>
            </w:pPr>
            <w:r w:rsidRPr="008E627B">
              <w:rPr>
                <w:lang w:val="hu-HU"/>
              </w:rPr>
              <w:t>A szervezett bűnözői oldalon hasonló „emberi faktor + folyamat” logika jelenik meg: fejlesztők célzása állásinterjús fedéssel és repo-futtatással, illetve a pénzügyi ökoszisztémában a mule accountok ipari méretű előállítása, ahol a KYC megkerülését maguk az áldozatok „hitelesítik le” társadalmi manipulációval.</w:t>
            </w:r>
          </w:p>
          <w:p w14:paraId="33724CE0" w14:textId="5B4F2FBE" w:rsidR="007E4FF7" w:rsidRPr="008E627B" w:rsidRDefault="001A4527" w:rsidP="001A4527">
            <w:pPr>
              <w:rPr>
                <w:lang w:val="hu-HU"/>
              </w:rPr>
            </w:pPr>
            <w:r w:rsidRPr="008E627B">
              <w:rPr>
                <w:lang w:val="hu-HU"/>
              </w:rPr>
              <w:t>A klasszikus „peremvédelem + IoC” önmagában kevés: a hozzáférés ma gyakran legitim folyamatnak álcázott, hosszan kitartott művelet. A kitettség csökkentésének kulcsa a bizalmi láncok (identitás, kommunikációs csatornák, beszállítók, onboarding) kontrollja és a viselkedés-alapú eltérésdetektálás.</w:t>
            </w:r>
          </w:p>
        </w:tc>
      </w:tr>
    </w:tbl>
    <w:p w14:paraId="27D079E4" w14:textId="782F0364" w:rsidR="001E350F" w:rsidRPr="008E627B" w:rsidRDefault="001E350F">
      <w:pPr>
        <w:rPr>
          <w:lang w:val="hu-HU"/>
        </w:rPr>
      </w:pPr>
    </w:p>
    <w:p w14:paraId="3EA218A0" w14:textId="77777777" w:rsidR="001E350F" w:rsidRPr="008E627B" w:rsidRDefault="001E350F">
      <w:pPr>
        <w:rPr>
          <w:lang w:val="hu-HU"/>
        </w:rPr>
      </w:pPr>
      <w:r w:rsidRPr="008E627B">
        <w:rPr>
          <w:lang w:val="hu-HU"/>
        </w:rPr>
        <w:br w:type="page"/>
      </w:r>
    </w:p>
    <w:p w14:paraId="7F5EF020" w14:textId="77777777" w:rsidR="002556AE" w:rsidRPr="008E627B" w:rsidRDefault="002556AE">
      <w:pPr>
        <w:rPr>
          <w:lang w:val="hu-HU"/>
        </w:rPr>
      </w:pPr>
    </w:p>
    <w:tbl>
      <w:tblPr>
        <w:tblStyle w:val="TableGrid"/>
        <w:tblpPr w:leftFromText="180" w:rightFromText="180" w:vertAnchor="text" w:horzAnchor="margin" w:tblpY="202"/>
        <w:tblW w:w="0" w:type="auto"/>
        <w:shd w:val="clear" w:color="auto" w:fill="FF3F5A"/>
        <w:tblLook w:val="04A0" w:firstRow="1" w:lastRow="0" w:firstColumn="1" w:lastColumn="0" w:noHBand="0" w:noVBand="1"/>
      </w:tblPr>
      <w:tblGrid>
        <w:gridCol w:w="4530"/>
        <w:gridCol w:w="4531"/>
      </w:tblGrid>
      <w:tr w:rsidR="002556AE" w:rsidRPr="008E627B" w14:paraId="290EBA47" w14:textId="77777777" w:rsidTr="002556AE">
        <w:tc>
          <w:tcPr>
            <w:tcW w:w="9061" w:type="dxa"/>
            <w:gridSpan w:val="2"/>
            <w:shd w:val="clear" w:color="auto" w:fill="FF3F5A"/>
          </w:tcPr>
          <w:p w14:paraId="1A577ACD" w14:textId="3ABA4D07" w:rsidR="002556AE" w:rsidRPr="008E627B" w:rsidRDefault="002556AE" w:rsidP="002556AE">
            <w:pPr>
              <w:rPr>
                <w:sz w:val="32"/>
                <w:szCs w:val="32"/>
                <w:lang w:val="hu-HU"/>
              </w:rPr>
            </w:pPr>
            <w:r w:rsidRPr="008E627B">
              <w:rPr>
                <w:sz w:val="32"/>
                <w:szCs w:val="32"/>
                <w:lang w:val="hu-HU"/>
              </w:rPr>
              <w:t>Támadási technikák és malware</w:t>
            </w:r>
          </w:p>
        </w:tc>
      </w:tr>
      <w:tr w:rsidR="007E4FF7" w:rsidRPr="008E627B" w14:paraId="40AEE144" w14:textId="77777777" w:rsidTr="001B4A64">
        <w:tc>
          <w:tcPr>
            <w:tcW w:w="4530" w:type="dxa"/>
            <w:shd w:val="clear" w:color="auto" w:fill="000000" w:themeFill="text1"/>
          </w:tcPr>
          <w:p w14:paraId="236AE721" w14:textId="77777777" w:rsidR="000E468D" w:rsidRPr="008E627B" w:rsidRDefault="000E468D" w:rsidP="007E4FF7">
            <w:pPr>
              <w:rPr>
                <w:b/>
                <w:bCs/>
                <w:lang w:val="hu-HU"/>
              </w:rPr>
            </w:pPr>
          </w:p>
          <w:p w14:paraId="05B3626B" w14:textId="2348E4E4" w:rsidR="007E4FF7" w:rsidRPr="008E627B" w:rsidRDefault="007E4FF7" w:rsidP="007E4FF7">
            <w:pPr>
              <w:rPr>
                <w:lang w:val="hu-HU"/>
              </w:rPr>
            </w:pPr>
            <w:r w:rsidRPr="008E627B">
              <w:rPr>
                <w:b/>
                <w:bCs/>
                <w:lang w:val="hu-HU"/>
              </w:rPr>
              <w:t>Fő trend:</w:t>
            </w:r>
            <w:r w:rsidR="001A4527" w:rsidRPr="008E627B">
              <w:rPr>
                <w:lang w:val="hu-HU"/>
              </w:rPr>
              <w:t xml:space="preserve"> </w:t>
            </w:r>
            <w:r w:rsidR="001A4527" w:rsidRPr="008E627B">
              <w:rPr>
                <w:lang w:val="hu-HU"/>
              </w:rPr>
              <w:t>a támadók a megbízhatónak tekintett platformfunkciókat (app store, linked devices, OAuth, agent tool-hívások) használják kompromittációs primitívként, miközben a malware egy része „könnyű, moduláris, karbantartott” irányba tolódik.</w:t>
            </w:r>
          </w:p>
          <w:p w14:paraId="27290CBE" w14:textId="77777777" w:rsidR="000E468D" w:rsidRPr="008E627B" w:rsidRDefault="000E468D" w:rsidP="007E4FF7">
            <w:pPr>
              <w:rPr>
                <w:lang w:val="hu-HU"/>
              </w:rPr>
            </w:pPr>
          </w:p>
          <w:p w14:paraId="2B894072" w14:textId="77777777" w:rsidR="007E4FF7" w:rsidRPr="008E627B" w:rsidRDefault="007E4FF7" w:rsidP="002556AE">
            <w:pPr>
              <w:rPr>
                <w:lang w:val="hu-HU"/>
              </w:rPr>
            </w:pPr>
          </w:p>
        </w:tc>
        <w:tc>
          <w:tcPr>
            <w:tcW w:w="4531" w:type="dxa"/>
            <w:shd w:val="clear" w:color="auto" w:fill="000000" w:themeFill="text1"/>
          </w:tcPr>
          <w:p w14:paraId="1ED7323C" w14:textId="16FAB89E" w:rsidR="007E4FF7" w:rsidRPr="008E627B" w:rsidRDefault="007E4FF7" w:rsidP="002556AE">
            <w:pPr>
              <w:rPr>
                <w:lang w:val="hu-HU"/>
              </w:rPr>
            </w:pPr>
          </w:p>
        </w:tc>
      </w:tr>
      <w:tr w:rsidR="003E09E4" w:rsidRPr="008E627B" w14:paraId="3F714430" w14:textId="77777777" w:rsidTr="002556AE">
        <w:tc>
          <w:tcPr>
            <w:tcW w:w="9061" w:type="dxa"/>
            <w:gridSpan w:val="2"/>
            <w:shd w:val="clear" w:color="auto" w:fill="FF3F5A"/>
          </w:tcPr>
          <w:p w14:paraId="7C89A9B0" w14:textId="77777777" w:rsidR="00EE53F1" w:rsidRDefault="001A4527" w:rsidP="003E09E4">
            <w:pPr>
              <w:rPr>
                <w:lang w:val="hu-HU"/>
              </w:rPr>
            </w:pPr>
            <w:r w:rsidRPr="008E627B">
              <w:rPr>
                <w:lang w:val="hu-HU"/>
              </w:rPr>
              <w:t xml:space="preserve">A mobil és felhasználói csatornákon a pszichológiai megtévesztés kifejezetten „platformnatív”: iOS-en a hamis kriptotárcák a hivatalos alkalmazásbolt keretein belül indítják el a phishing-láncot, majd seed phrase/privát kulcs megszerzéséig viszik a folyamatot; üzenetküldőknél pedig a fiók-átvétel és a láthatatlan megfigyelés a legitim „linked device” funkció visszaélésével történik. </w:t>
            </w:r>
          </w:p>
          <w:p w14:paraId="626AFD33" w14:textId="77777777" w:rsidR="00EE53F1" w:rsidRDefault="001A4527" w:rsidP="003E09E4">
            <w:pPr>
              <w:rPr>
                <w:lang w:val="hu-HU"/>
              </w:rPr>
            </w:pPr>
            <w:r w:rsidRPr="008E627B">
              <w:rPr>
                <w:lang w:val="hu-HU"/>
              </w:rPr>
              <w:t xml:space="preserve">A vállalati környezetben a bizalmi modell töréspontjai kerülnek fókuszba: workflow/CI-CD jellegű sérülékenységek és fejlesztői környezetek elleni kampányok supply chain hatást célozhatnak, míg a modern agent-alapú rendszereknél a prompt injection már nem „csak” tartalom-manipuláció, hanem a végrehajtási rétegig érő sandbox escape kockázat is lehet, ha a tool-hívások validációja hiányos. </w:t>
            </w:r>
          </w:p>
          <w:p w14:paraId="06B0A43F" w14:textId="51F94222" w:rsidR="001A4527" w:rsidRPr="008E627B" w:rsidRDefault="001A4527" w:rsidP="003E09E4">
            <w:pPr>
              <w:rPr>
                <w:lang w:val="hu-HU"/>
              </w:rPr>
            </w:pPr>
            <w:r w:rsidRPr="008E627B">
              <w:rPr>
                <w:lang w:val="hu-HU"/>
              </w:rPr>
              <w:t>Malware oldalon egyszerre jelenik meg a destruktív cél (wiper) és a „könnyen fejleszthető” runtime-alapú architektúra: a romboló komponensek legitim API-k mögé bújhatnak, míg a script/runtime vezérelt backdoorok (dinamikus modulbetöltés, trusted szolgáltatások használata) csökkenthetik a statikus detektálás hatékonyságát.</w:t>
            </w:r>
          </w:p>
          <w:p w14:paraId="243C7C17" w14:textId="11F2D69C" w:rsidR="00D20D56" w:rsidRPr="008E627B" w:rsidRDefault="001A4527" w:rsidP="001A4527">
            <w:pPr>
              <w:rPr>
                <w:lang w:val="hu-HU"/>
              </w:rPr>
            </w:pPr>
            <w:r w:rsidRPr="001A4527">
              <w:rPr>
                <w:lang w:val="hu-HU"/>
              </w:rPr>
              <w:t>A védelemnek a „platform- és folyamatbiztonság” felé kell fordulnia: app- és üzenetküldő-higiénia, OAuth/identity kontroll, CI/CD keményítés, agent-eszközök biztonsági modelljének felülvizsgálata</w:t>
            </w:r>
            <w:r w:rsidR="00EE53F1">
              <w:rPr>
                <w:lang w:val="hu-HU"/>
              </w:rPr>
              <w:t xml:space="preserve"> szükséges</w:t>
            </w:r>
            <w:r w:rsidRPr="001A4527">
              <w:rPr>
                <w:lang w:val="hu-HU"/>
              </w:rPr>
              <w:t>. A detektálás súlypontja a szokatlan munkafolyamatokra, új eszköz-összekapcsolásokra, és a legitim szolgáltatásokkal való visszaélés mintázataira helyeződik.</w:t>
            </w:r>
          </w:p>
        </w:tc>
      </w:tr>
    </w:tbl>
    <w:p w14:paraId="34E60CF9" w14:textId="7833E715" w:rsidR="00D20D56" w:rsidRPr="008E627B" w:rsidRDefault="00D20D56">
      <w:pPr>
        <w:rPr>
          <w:lang w:val="hu-HU"/>
        </w:rPr>
      </w:pPr>
    </w:p>
    <w:p w14:paraId="7A34F6C1" w14:textId="77777777" w:rsidR="00D20D56" w:rsidRPr="008E627B" w:rsidRDefault="00D20D56">
      <w:pPr>
        <w:rPr>
          <w:lang w:val="hu-HU"/>
        </w:rPr>
      </w:pPr>
      <w:r w:rsidRPr="008E627B">
        <w:rPr>
          <w:lang w:val="hu-HU"/>
        </w:rPr>
        <w:br w:type="page"/>
      </w:r>
    </w:p>
    <w:tbl>
      <w:tblPr>
        <w:tblStyle w:val="TableGrid"/>
        <w:tblW w:w="0" w:type="auto"/>
        <w:shd w:val="clear" w:color="auto" w:fill="FF3F5A"/>
        <w:tblLook w:val="04A0" w:firstRow="1" w:lastRow="0" w:firstColumn="1" w:lastColumn="0" w:noHBand="0" w:noVBand="1"/>
      </w:tblPr>
      <w:tblGrid>
        <w:gridCol w:w="4530"/>
        <w:gridCol w:w="4531"/>
      </w:tblGrid>
      <w:tr w:rsidR="006C75A8" w:rsidRPr="008E627B" w14:paraId="55FEB024" w14:textId="77777777" w:rsidTr="006C75A8">
        <w:tc>
          <w:tcPr>
            <w:tcW w:w="9061" w:type="dxa"/>
            <w:gridSpan w:val="2"/>
            <w:shd w:val="clear" w:color="auto" w:fill="FF3F5A"/>
          </w:tcPr>
          <w:p w14:paraId="7BB125A9" w14:textId="0BDBA8EB" w:rsidR="006C75A8" w:rsidRPr="008E627B" w:rsidRDefault="002556AE">
            <w:pPr>
              <w:rPr>
                <w:sz w:val="32"/>
                <w:szCs w:val="32"/>
                <w:lang w:val="hu-HU"/>
              </w:rPr>
            </w:pPr>
            <w:r w:rsidRPr="008E627B">
              <w:rPr>
                <w:sz w:val="32"/>
                <w:szCs w:val="32"/>
                <w:lang w:val="hu-HU"/>
              </w:rPr>
              <w:lastRenderedPageBreak/>
              <w:t>OT / Kritikus infrastruktúra</w:t>
            </w:r>
          </w:p>
        </w:tc>
      </w:tr>
      <w:tr w:rsidR="007E4FF7" w:rsidRPr="008E627B" w14:paraId="71C38C55" w14:textId="77777777" w:rsidTr="00256051">
        <w:tc>
          <w:tcPr>
            <w:tcW w:w="4530" w:type="dxa"/>
            <w:shd w:val="clear" w:color="auto" w:fill="000000" w:themeFill="text1"/>
          </w:tcPr>
          <w:p w14:paraId="4C085818" w14:textId="77777777" w:rsidR="000E468D" w:rsidRPr="008E627B" w:rsidRDefault="000E468D" w:rsidP="007E4FF7">
            <w:pPr>
              <w:rPr>
                <w:b/>
                <w:bCs/>
                <w:lang w:val="hu-HU"/>
              </w:rPr>
            </w:pPr>
          </w:p>
          <w:p w14:paraId="654D58F4" w14:textId="2C1FD3DF" w:rsidR="000E468D" w:rsidRPr="008E627B" w:rsidRDefault="007E4FF7" w:rsidP="007E4FF7">
            <w:pPr>
              <w:rPr>
                <w:lang w:val="hu-HU"/>
              </w:rPr>
            </w:pPr>
            <w:r w:rsidRPr="008E627B">
              <w:rPr>
                <w:b/>
                <w:bCs/>
                <w:lang w:val="hu-HU"/>
              </w:rPr>
              <w:t>Fő trend:</w:t>
            </w:r>
            <w:r w:rsidR="001A4527" w:rsidRPr="008E627B">
              <w:rPr>
                <w:b/>
                <w:bCs/>
                <w:lang w:val="hu-HU"/>
              </w:rPr>
              <w:t xml:space="preserve"> </w:t>
            </w:r>
            <w:r w:rsidR="001A4527" w:rsidRPr="008E627B">
              <w:rPr>
                <w:lang w:val="hu-HU"/>
              </w:rPr>
              <w:t>az OT/ICS kitettség egyszerre nő a „híd-eszközök” (átjárók, konverterek) sérülékenységei és a fizikai folyamatmanipulációt célzó kódok megjelenése miatt, miközben a nemzetállami előzetes beágyazódás továbbra is prioritás.</w:t>
            </w:r>
          </w:p>
          <w:p w14:paraId="3D759A80" w14:textId="77777777" w:rsidR="007E4FF7" w:rsidRPr="008E627B" w:rsidRDefault="007E4FF7">
            <w:pPr>
              <w:rPr>
                <w:lang w:val="hu-HU"/>
              </w:rPr>
            </w:pPr>
          </w:p>
        </w:tc>
        <w:tc>
          <w:tcPr>
            <w:tcW w:w="4531" w:type="dxa"/>
            <w:shd w:val="clear" w:color="auto" w:fill="000000" w:themeFill="text1"/>
          </w:tcPr>
          <w:p w14:paraId="4BF78559" w14:textId="5BD60B1F" w:rsidR="007E4FF7" w:rsidRPr="008E627B" w:rsidRDefault="007E4FF7">
            <w:pPr>
              <w:rPr>
                <w:lang w:val="hu-HU"/>
              </w:rPr>
            </w:pPr>
          </w:p>
        </w:tc>
      </w:tr>
      <w:tr w:rsidR="007E4FF7" w:rsidRPr="008E627B" w14:paraId="3E9AAF9E" w14:textId="77777777" w:rsidTr="006C75A8">
        <w:tc>
          <w:tcPr>
            <w:tcW w:w="9061" w:type="dxa"/>
            <w:gridSpan w:val="2"/>
            <w:shd w:val="clear" w:color="auto" w:fill="FF3F5A"/>
          </w:tcPr>
          <w:p w14:paraId="12296D09" w14:textId="77777777" w:rsidR="00EE53F1" w:rsidRDefault="001A4527" w:rsidP="007E4FF7">
            <w:pPr>
              <w:rPr>
                <w:lang w:val="hu-HU"/>
              </w:rPr>
            </w:pPr>
            <w:r w:rsidRPr="008E627B">
              <w:rPr>
                <w:lang w:val="hu-HU"/>
              </w:rPr>
              <w:t xml:space="preserve">A serial-to-IP konverterek jellegükből adódóan „OT–IT kapuk”, ezért a bennük feltárt széles hibaspektrum (hitelesítés nélküli hozzáférés, parancs-injection, RCE) nem pusztán eszközszintű kockázat: a folyamatadatok és vezérlési jelek manipulálása már közvetlenül biztonsági és üzemmenet-folytonossági kérdés. </w:t>
            </w:r>
          </w:p>
          <w:p w14:paraId="4F330D90" w14:textId="77777777" w:rsidR="00EE53F1" w:rsidRDefault="001A4527" w:rsidP="007E4FF7">
            <w:pPr>
              <w:rPr>
                <w:lang w:val="hu-HU"/>
              </w:rPr>
            </w:pPr>
            <w:r w:rsidRPr="008E627B">
              <w:rPr>
                <w:lang w:val="hu-HU"/>
              </w:rPr>
              <w:t xml:space="preserve">Ezzel párhuzamosan a célzott OT-malware iránya egyértelmű: még ha egyes eszközök technikailag nem is „élesek”, a környezet-érzékeny aktiváció és a fizikai hatásra optimalizált logika azt jelzi, hogy a támadói tanulási görbe gyorsul, a belépési küszöb csökken, és a „kiber” következmény egyre gyakrabban lesz kiber-fizikai. </w:t>
            </w:r>
          </w:p>
          <w:p w14:paraId="77505B20" w14:textId="31D18DA0" w:rsidR="00D20D56" w:rsidRPr="008E627B" w:rsidRDefault="001A4527" w:rsidP="007E4FF7">
            <w:pPr>
              <w:rPr>
                <w:lang w:val="hu-HU"/>
              </w:rPr>
            </w:pPr>
            <w:r w:rsidRPr="008E627B">
              <w:rPr>
                <w:lang w:val="hu-HU"/>
              </w:rPr>
              <w:t>A stratégiai kitettséget növeli, hogy a nemzetállami szereplők kompromittált edge/IoT infrastruktúrára épített fedett hálózatokkal tudnak tartósan és tagadható módon közel maradni kritikus infrastruktúrákhoz.</w:t>
            </w:r>
          </w:p>
          <w:p w14:paraId="69821634" w14:textId="6025AE54" w:rsidR="001A4527" w:rsidRPr="008E627B" w:rsidRDefault="001A4527" w:rsidP="007E4FF7">
            <w:pPr>
              <w:rPr>
                <w:lang w:val="hu-HU"/>
              </w:rPr>
            </w:pPr>
            <w:r w:rsidRPr="008E627B">
              <w:rPr>
                <w:lang w:val="hu-HU"/>
              </w:rPr>
              <w:t>Az OT-védelemben a „láthatóság + szegmentáció + internet-kitettség csökkentése” továbbra is alap, de nem elég: a híd-eszközök hardeningje, firmware-kontrollja, valamint a folyamatintegritás (szenzor/vezérlési jel validáció) a fizikai hatás kockázata miatt felértékelődik.</w:t>
            </w:r>
          </w:p>
        </w:tc>
      </w:tr>
    </w:tbl>
    <w:p w14:paraId="601A7546" w14:textId="77777777" w:rsidR="000E468D" w:rsidRPr="008E627B" w:rsidRDefault="000E468D">
      <w:pPr>
        <w:rPr>
          <w:lang w:val="hu-HU"/>
        </w:rPr>
      </w:pPr>
      <w:r w:rsidRPr="008E627B">
        <w:rPr>
          <w:lang w:val="hu-HU"/>
        </w:rPr>
        <w:br w:type="page"/>
      </w:r>
    </w:p>
    <w:p w14:paraId="352390E4" w14:textId="77777777" w:rsidR="006C75A8" w:rsidRPr="008E627B" w:rsidRDefault="006C75A8">
      <w:pPr>
        <w:rPr>
          <w:lang w:val="hu-HU"/>
        </w:rPr>
      </w:pPr>
    </w:p>
    <w:tbl>
      <w:tblPr>
        <w:tblStyle w:val="TableGrid"/>
        <w:tblpPr w:leftFromText="180" w:rightFromText="180" w:vertAnchor="text" w:horzAnchor="margin" w:tblpY="202"/>
        <w:tblW w:w="0" w:type="auto"/>
        <w:shd w:val="clear" w:color="auto" w:fill="FF3F5A"/>
        <w:tblLook w:val="04A0" w:firstRow="1" w:lastRow="0" w:firstColumn="1" w:lastColumn="0" w:noHBand="0" w:noVBand="1"/>
      </w:tblPr>
      <w:tblGrid>
        <w:gridCol w:w="4530"/>
        <w:gridCol w:w="4531"/>
      </w:tblGrid>
      <w:tr w:rsidR="002556AE" w:rsidRPr="008E627B" w14:paraId="62D99BD3" w14:textId="77777777" w:rsidTr="0099062D">
        <w:tc>
          <w:tcPr>
            <w:tcW w:w="9061" w:type="dxa"/>
            <w:gridSpan w:val="2"/>
            <w:shd w:val="clear" w:color="auto" w:fill="FF3F5A"/>
          </w:tcPr>
          <w:p w14:paraId="3BFFE3F9" w14:textId="127E85BD" w:rsidR="002556AE" w:rsidRPr="008E627B" w:rsidRDefault="002556AE" w:rsidP="0099062D">
            <w:pPr>
              <w:rPr>
                <w:sz w:val="32"/>
                <w:szCs w:val="32"/>
                <w:lang w:val="hu-HU"/>
              </w:rPr>
            </w:pPr>
            <w:r w:rsidRPr="008E627B">
              <w:rPr>
                <w:sz w:val="32"/>
                <w:szCs w:val="32"/>
                <w:lang w:val="hu-HU"/>
              </w:rPr>
              <w:t>Kiberbiztonsági irányítás, védelem és policy</w:t>
            </w:r>
          </w:p>
        </w:tc>
      </w:tr>
      <w:tr w:rsidR="007E4FF7" w:rsidRPr="008E627B" w14:paraId="0BD4D6BB" w14:textId="77777777" w:rsidTr="005431ED">
        <w:tc>
          <w:tcPr>
            <w:tcW w:w="4530" w:type="dxa"/>
            <w:shd w:val="clear" w:color="auto" w:fill="000000" w:themeFill="text1"/>
          </w:tcPr>
          <w:p w14:paraId="220FE5DA" w14:textId="77777777" w:rsidR="000E468D" w:rsidRPr="008E627B" w:rsidRDefault="000E468D" w:rsidP="007E4FF7">
            <w:pPr>
              <w:rPr>
                <w:b/>
                <w:bCs/>
                <w:lang w:val="hu-HU"/>
              </w:rPr>
            </w:pPr>
          </w:p>
          <w:p w14:paraId="69A41E31" w14:textId="77777777" w:rsidR="007E4FF7" w:rsidRDefault="007E4FF7" w:rsidP="00D20D56">
            <w:pPr>
              <w:rPr>
                <w:lang w:val="hu-HU"/>
              </w:rPr>
            </w:pPr>
            <w:r w:rsidRPr="008E627B">
              <w:rPr>
                <w:b/>
                <w:bCs/>
                <w:lang w:val="hu-HU"/>
              </w:rPr>
              <w:t>Fő trend:</w:t>
            </w:r>
            <w:r w:rsidRPr="008E627B">
              <w:rPr>
                <w:lang w:val="hu-HU"/>
              </w:rPr>
              <w:t xml:space="preserve"> </w:t>
            </w:r>
            <w:r w:rsidR="001A4527" w:rsidRPr="008E627B">
              <w:rPr>
                <w:lang w:val="hu-HU"/>
              </w:rPr>
              <w:t>a governance a „bizalom és identitás” köré szerveződik, miközben a magas biztonságú környezetekben a BYOD és a nem kontrollált eszközök toleranciája látványosan csökken.</w:t>
            </w:r>
          </w:p>
          <w:p w14:paraId="3B783249" w14:textId="3DA0CD8D" w:rsidR="00EE53F1" w:rsidRPr="008E627B" w:rsidRDefault="00EE53F1" w:rsidP="00D20D56">
            <w:pPr>
              <w:rPr>
                <w:lang w:val="hu-HU"/>
              </w:rPr>
            </w:pPr>
          </w:p>
        </w:tc>
        <w:tc>
          <w:tcPr>
            <w:tcW w:w="4531" w:type="dxa"/>
            <w:shd w:val="clear" w:color="auto" w:fill="000000" w:themeFill="text1"/>
          </w:tcPr>
          <w:p w14:paraId="76A3FAAE" w14:textId="16B867F0" w:rsidR="007E4FF7" w:rsidRPr="008E627B" w:rsidRDefault="007E4FF7" w:rsidP="0099062D">
            <w:pPr>
              <w:rPr>
                <w:lang w:val="hu-HU"/>
              </w:rPr>
            </w:pPr>
          </w:p>
        </w:tc>
      </w:tr>
      <w:tr w:rsidR="007E4FF7" w:rsidRPr="008E627B" w14:paraId="5AC788F8" w14:textId="77777777" w:rsidTr="0099062D">
        <w:tc>
          <w:tcPr>
            <w:tcW w:w="9061" w:type="dxa"/>
            <w:gridSpan w:val="2"/>
            <w:shd w:val="clear" w:color="auto" w:fill="FF3F5A"/>
          </w:tcPr>
          <w:p w14:paraId="2244F620" w14:textId="77777777" w:rsidR="00EE53F1" w:rsidRDefault="001A4527" w:rsidP="007E4FF7">
            <w:pPr>
              <w:rPr>
                <w:lang w:val="hu-HU"/>
              </w:rPr>
            </w:pPr>
            <w:r w:rsidRPr="008E627B">
              <w:rPr>
                <w:lang w:val="hu-HU"/>
              </w:rPr>
              <w:t xml:space="preserve">Több történet közös tanulsága, hogy a technológiai kontrollok ott törnek, ahol a szervezet implicit bizalmat ad: helpdesk/kommunikációs folyamatok, cross-tenant együttműködések, OAuth-engedélyezések, vagy éppen fejlesztői és pénzügyi onboarding. Amikor a támadás végig „megbízható domaineken” és legitim folyamatokon fut, a klasszikus védelmi jelzések későn vagy egyáltalán nem szólalnak meg, ezért a szabályozásnak és a monitoringnak is a folyamatokra kell ráülni (engedélyezési modellek, kockázatos beleegyezések, rendellenes hozzáférési útvonalak). </w:t>
            </w:r>
          </w:p>
          <w:p w14:paraId="4F0D70A4" w14:textId="26F864EF" w:rsidR="00D20D56" w:rsidRPr="008E627B" w:rsidRDefault="001A4527" w:rsidP="007E4FF7">
            <w:pPr>
              <w:rPr>
                <w:lang w:val="hu-HU"/>
              </w:rPr>
            </w:pPr>
            <w:r w:rsidRPr="008E627B">
              <w:rPr>
                <w:lang w:val="hu-HU"/>
              </w:rPr>
              <w:t>A másik irány a „fizikai és oldalsávos” fenyegetések komolyan vétele: ahol érzékeny döntéshozatal zajlik, ott a mobil eszközök jelenlétének korlátozása és a magán–munka szétválasztása újra szervezeti normává válik, nem csak technikai ajánlássá.</w:t>
            </w:r>
          </w:p>
          <w:p w14:paraId="1B8BBC67" w14:textId="59787560" w:rsidR="001A4527" w:rsidRPr="008E627B" w:rsidRDefault="001A4527" w:rsidP="007E4FF7">
            <w:pPr>
              <w:rPr>
                <w:lang w:val="hu-HU"/>
              </w:rPr>
            </w:pPr>
            <w:r w:rsidRPr="008E627B">
              <w:rPr>
                <w:lang w:val="hu-HU"/>
              </w:rPr>
              <w:t>A következő védelmi ugrás governance-kérdés: identitás- és engedélyezésmenedzsment szigorítása, üzleti folyamatokba épített ellenőrzések (különösen pénzmozgás, fejlesztés, partnerkapcsolatok), valamint a magas biztonságú terek eszközpolitikáinak következetesítése.</w:t>
            </w:r>
          </w:p>
        </w:tc>
      </w:tr>
    </w:tbl>
    <w:p w14:paraId="796E9CC7" w14:textId="77777777" w:rsidR="002556AE" w:rsidRPr="008E627B" w:rsidRDefault="002556AE" w:rsidP="001A4527">
      <w:pPr>
        <w:rPr>
          <w:lang w:val="hu-HU"/>
        </w:rPr>
      </w:pPr>
    </w:p>
    <w:sectPr w:rsidR="002556AE" w:rsidRPr="008E627B" w:rsidSect="00A17B1C">
      <w:headerReference w:type="default" r:id="rId6"/>
      <w:pgSz w:w="11906" w:h="16838"/>
      <w:pgMar w:top="1417" w:right="1134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6BDEC" w14:textId="77777777" w:rsidR="00347809" w:rsidRDefault="00347809" w:rsidP="00A01658">
      <w:pPr>
        <w:spacing w:after="0" w:line="240" w:lineRule="auto"/>
      </w:pPr>
      <w:r>
        <w:separator/>
      </w:r>
    </w:p>
  </w:endnote>
  <w:endnote w:type="continuationSeparator" w:id="0">
    <w:p w14:paraId="61AFEA37" w14:textId="77777777" w:rsidR="00347809" w:rsidRDefault="00347809" w:rsidP="00A016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08F7D" w14:textId="77777777" w:rsidR="00347809" w:rsidRDefault="00347809" w:rsidP="00A01658">
      <w:pPr>
        <w:spacing w:after="0" w:line="240" w:lineRule="auto"/>
      </w:pPr>
      <w:r>
        <w:separator/>
      </w:r>
    </w:p>
  </w:footnote>
  <w:footnote w:type="continuationSeparator" w:id="0">
    <w:p w14:paraId="35F8E9C1" w14:textId="77777777" w:rsidR="00347809" w:rsidRDefault="00347809" w:rsidP="00A016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206" w:type="dxa"/>
      <w:tblInd w:w="-1139" w:type="dxa"/>
      <w:tblLook w:val="04A0" w:firstRow="1" w:lastRow="0" w:firstColumn="1" w:lastColumn="0" w:noHBand="0" w:noVBand="1"/>
    </w:tblPr>
    <w:tblGrid>
      <w:gridCol w:w="1129"/>
      <w:gridCol w:w="6242"/>
      <w:gridCol w:w="2835"/>
    </w:tblGrid>
    <w:tr w:rsidR="00A01658" w14:paraId="22D86D0C" w14:textId="77777777" w:rsidTr="000E468D">
      <w:tc>
        <w:tcPr>
          <w:tcW w:w="1129" w:type="dxa"/>
        </w:tcPr>
        <w:p w14:paraId="74F06CFE" w14:textId="49DBD956" w:rsidR="00A01658" w:rsidRDefault="00A01658" w:rsidP="00A01658">
          <w:pPr>
            <w:pStyle w:val="Header"/>
          </w:pPr>
          <w:r>
            <w:rPr>
              <w:noProof/>
            </w:rPr>
            <w:drawing>
              <wp:inline distT="0" distB="0" distL="0" distR="0" wp14:anchorId="122D9289" wp14:editId="3CDE480C">
                <wp:extent cx="519113" cy="519113"/>
                <wp:effectExtent l="0" t="0" r="0" b="0"/>
                <wp:docPr id="1272531076" name="Picture 4" descr="A letter y with cracked paint on i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2531076" name="Picture 4" descr="A letter y with cracked paint on it&#10;&#10;AI-generated content may be incorrect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9034" cy="5290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42" w:type="dxa"/>
        </w:tcPr>
        <w:p w14:paraId="34625651" w14:textId="77777777" w:rsidR="00A01658" w:rsidRPr="00A01658" w:rsidRDefault="00A01658" w:rsidP="000E468D">
          <w:pPr>
            <w:pStyle w:val="Header"/>
            <w:ind w:firstLine="1737"/>
            <w:jc w:val="center"/>
            <w:rPr>
              <w:sz w:val="36"/>
              <w:szCs w:val="36"/>
            </w:rPr>
          </w:pPr>
          <w:r w:rsidRPr="00A01658">
            <w:rPr>
              <w:sz w:val="36"/>
              <w:szCs w:val="36"/>
            </w:rPr>
            <w:t>YANAC</w:t>
          </w:r>
        </w:p>
        <w:p w14:paraId="46923BC4" w14:textId="3B4CF854" w:rsidR="00A01658" w:rsidRDefault="00A01658" w:rsidP="000E468D">
          <w:pPr>
            <w:pStyle w:val="Header"/>
            <w:ind w:firstLine="1737"/>
            <w:jc w:val="center"/>
          </w:pPr>
          <w:r w:rsidRPr="00A01658">
            <w:rPr>
              <w:sz w:val="36"/>
              <w:szCs w:val="36"/>
            </w:rPr>
            <w:t>Heti összefoglaló</w:t>
          </w:r>
        </w:p>
      </w:tc>
      <w:tc>
        <w:tcPr>
          <w:tcW w:w="2835" w:type="dxa"/>
          <w:vAlign w:val="bottom"/>
        </w:tcPr>
        <w:p w14:paraId="730BB2D4" w14:textId="622A4E73" w:rsidR="00A01658" w:rsidRPr="00A01658" w:rsidRDefault="00A01658" w:rsidP="000E468D">
          <w:pPr>
            <w:pStyle w:val="Header"/>
            <w:jc w:val="right"/>
            <w:rPr>
              <w:sz w:val="28"/>
              <w:szCs w:val="28"/>
            </w:rPr>
          </w:pPr>
          <w:r w:rsidRPr="00A01658">
            <w:rPr>
              <w:sz w:val="28"/>
              <w:szCs w:val="28"/>
            </w:rPr>
            <w:t xml:space="preserve">2026. </w:t>
          </w:r>
          <w:r w:rsidR="00D20D56">
            <w:rPr>
              <w:sz w:val="28"/>
              <w:szCs w:val="28"/>
            </w:rPr>
            <w:t>április</w:t>
          </w:r>
          <w:r w:rsidRPr="00A01658">
            <w:rPr>
              <w:sz w:val="28"/>
              <w:szCs w:val="28"/>
            </w:rPr>
            <w:t xml:space="preserve"> 17., </w:t>
          </w:r>
          <w:r w:rsidR="00D20D56">
            <w:rPr>
              <w:sz w:val="28"/>
              <w:szCs w:val="28"/>
            </w:rPr>
            <w:t>péntek</w:t>
          </w:r>
        </w:p>
      </w:tc>
    </w:tr>
  </w:tbl>
  <w:p w14:paraId="132FB8BC" w14:textId="1E626AC2" w:rsidR="00A01658" w:rsidRPr="00A01658" w:rsidRDefault="00A01658" w:rsidP="00A0165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doNotDisplayPageBoundaries/>
  <w:displayBackgroundShape/>
  <w:defaultTabStop w:val="720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658"/>
    <w:rsid w:val="00042204"/>
    <w:rsid w:val="000E468D"/>
    <w:rsid w:val="001A4527"/>
    <w:rsid w:val="001E350F"/>
    <w:rsid w:val="002458F8"/>
    <w:rsid w:val="002556AE"/>
    <w:rsid w:val="00347809"/>
    <w:rsid w:val="003E09E4"/>
    <w:rsid w:val="004F2FDD"/>
    <w:rsid w:val="0053475C"/>
    <w:rsid w:val="006C75A8"/>
    <w:rsid w:val="006D1B9E"/>
    <w:rsid w:val="007224A0"/>
    <w:rsid w:val="007E4FF7"/>
    <w:rsid w:val="00817734"/>
    <w:rsid w:val="00827256"/>
    <w:rsid w:val="00846C91"/>
    <w:rsid w:val="00894F79"/>
    <w:rsid w:val="008E627B"/>
    <w:rsid w:val="00A01658"/>
    <w:rsid w:val="00A17B1C"/>
    <w:rsid w:val="00A55424"/>
    <w:rsid w:val="00A92C25"/>
    <w:rsid w:val="00A9492F"/>
    <w:rsid w:val="00B928D7"/>
    <w:rsid w:val="00C44233"/>
    <w:rsid w:val="00C65FD8"/>
    <w:rsid w:val="00CF10BF"/>
    <w:rsid w:val="00D20D56"/>
    <w:rsid w:val="00EE53F1"/>
    <w:rsid w:val="00F0598B"/>
    <w:rsid w:val="00FA2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300B7E"/>
  <w15:chartTrackingRefBased/>
  <w15:docId w15:val="{295691C8-F77E-48D3-BACE-B0BF58720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color w:val="FFFFFF" w:themeColor="background1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56AE"/>
  </w:style>
  <w:style w:type="paragraph" w:styleId="Heading1">
    <w:name w:val="heading 1"/>
    <w:basedOn w:val="Normal"/>
    <w:next w:val="Normal"/>
    <w:link w:val="Heading1Char"/>
    <w:uiPriority w:val="9"/>
    <w:qFormat/>
    <w:rsid w:val="00A01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1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65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65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6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65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65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65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65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65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hu-HU"/>
    </w:rPr>
  </w:style>
  <w:style w:type="character" w:customStyle="1" w:styleId="Heading2Char">
    <w:name w:val="Heading 2 Char"/>
    <w:basedOn w:val="DefaultParagraphFont"/>
    <w:link w:val="Heading2"/>
    <w:uiPriority w:val="9"/>
    <w:rsid w:val="00A0165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hu-H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658"/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hu-H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658"/>
    <w:rPr>
      <w:rFonts w:asciiTheme="minorHAnsi" w:eastAsiaTheme="majorEastAsia" w:hAnsiTheme="minorHAnsi" w:cstheme="majorBidi"/>
      <w:i/>
      <w:iCs/>
      <w:color w:val="2F5496" w:themeColor="accent1" w:themeShade="BF"/>
      <w:lang w:val="hu-H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658"/>
    <w:rPr>
      <w:rFonts w:asciiTheme="minorHAnsi" w:eastAsiaTheme="majorEastAsia" w:hAnsiTheme="minorHAnsi" w:cstheme="majorBidi"/>
      <w:color w:val="2F5496" w:themeColor="accent1" w:themeShade="BF"/>
      <w:lang w:val="hu-H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658"/>
    <w:rPr>
      <w:rFonts w:asciiTheme="minorHAnsi" w:eastAsiaTheme="majorEastAsia" w:hAnsiTheme="minorHAnsi" w:cstheme="majorBidi"/>
      <w:i/>
      <w:iCs/>
      <w:color w:val="595959" w:themeColor="text1" w:themeTint="A6"/>
      <w:lang w:val="hu-H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658"/>
    <w:rPr>
      <w:rFonts w:asciiTheme="minorHAnsi" w:eastAsiaTheme="majorEastAsia" w:hAnsiTheme="minorHAnsi" w:cstheme="majorBidi"/>
      <w:color w:val="595959" w:themeColor="text1" w:themeTint="A6"/>
      <w:lang w:val="hu-H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658"/>
    <w:rPr>
      <w:rFonts w:asciiTheme="minorHAnsi" w:eastAsiaTheme="majorEastAsia" w:hAnsiTheme="minorHAnsi" w:cstheme="majorBidi"/>
      <w:i/>
      <w:iCs/>
      <w:color w:val="272727" w:themeColor="text1" w:themeTint="D8"/>
      <w:lang w:val="hu-H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658"/>
    <w:rPr>
      <w:rFonts w:asciiTheme="minorHAnsi" w:eastAsiaTheme="majorEastAsia" w:hAnsiTheme="minorHAnsi" w:cstheme="majorBidi"/>
      <w:color w:val="272727" w:themeColor="text1" w:themeTint="D8"/>
      <w:lang w:val="hu-HU"/>
    </w:rPr>
  </w:style>
  <w:style w:type="paragraph" w:styleId="Title">
    <w:name w:val="Title"/>
    <w:basedOn w:val="Normal"/>
    <w:next w:val="Normal"/>
    <w:link w:val="TitleChar"/>
    <w:uiPriority w:val="10"/>
    <w:qFormat/>
    <w:rsid w:val="00A016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658"/>
    <w:rPr>
      <w:rFonts w:asciiTheme="majorHAnsi" w:eastAsiaTheme="majorEastAsia" w:hAnsiTheme="majorHAnsi" w:cstheme="majorBidi"/>
      <w:spacing w:val="-10"/>
      <w:kern w:val="28"/>
      <w:sz w:val="56"/>
      <w:szCs w:val="56"/>
      <w:lang w:val="hu-HU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65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65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hu-HU"/>
    </w:rPr>
  </w:style>
  <w:style w:type="paragraph" w:styleId="Quote">
    <w:name w:val="Quote"/>
    <w:basedOn w:val="Normal"/>
    <w:next w:val="Normal"/>
    <w:link w:val="QuoteChar"/>
    <w:uiPriority w:val="29"/>
    <w:qFormat/>
    <w:rsid w:val="00A016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658"/>
    <w:rPr>
      <w:i/>
      <w:iCs/>
      <w:color w:val="404040" w:themeColor="text1" w:themeTint="BF"/>
      <w:lang w:val="hu-HU"/>
    </w:rPr>
  </w:style>
  <w:style w:type="paragraph" w:styleId="ListParagraph">
    <w:name w:val="List Paragraph"/>
    <w:basedOn w:val="Normal"/>
    <w:uiPriority w:val="34"/>
    <w:qFormat/>
    <w:rsid w:val="00A016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6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6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658"/>
    <w:rPr>
      <w:i/>
      <w:iCs/>
      <w:color w:val="2F5496" w:themeColor="accent1" w:themeShade="BF"/>
      <w:lang w:val="hu-HU"/>
    </w:rPr>
  </w:style>
  <w:style w:type="character" w:styleId="IntenseReference">
    <w:name w:val="Intense Reference"/>
    <w:basedOn w:val="DefaultParagraphFont"/>
    <w:uiPriority w:val="32"/>
    <w:qFormat/>
    <w:rsid w:val="00A0165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0165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1658"/>
    <w:rPr>
      <w:lang w:val="hu-HU"/>
    </w:rPr>
  </w:style>
  <w:style w:type="paragraph" w:styleId="Footer">
    <w:name w:val="footer"/>
    <w:basedOn w:val="Normal"/>
    <w:link w:val="FooterChar"/>
    <w:uiPriority w:val="99"/>
    <w:unhideWhenUsed/>
    <w:rsid w:val="00A0165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1658"/>
    <w:rPr>
      <w:lang w:val="hu-HU"/>
    </w:rPr>
  </w:style>
  <w:style w:type="table" w:styleId="TableGrid">
    <w:name w:val="Table Grid"/>
    <w:basedOn w:val="TableNormal"/>
    <w:uiPriority w:val="39"/>
    <w:rsid w:val="00A016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942</Words>
  <Characters>5371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Biró Péter</dc:creator>
  <cp:keywords/>
  <dc:description/>
  <cp:lastModifiedBy>Peter Biro</cp:lastModifiedBy>
  <cp:revision>5</cp:revision>
  <cp:lastPrinted>2026-02-17T19:55:00Z</cp:lastPrinted>
  <dcterms:created xsi:type="dcterms:W3CDTF">2026-04-23T19:37:00Z</dcterms:created>
  <dcterms:modified xsi:type="dcterms:W3CDTF">2026-04-23T19:47:00Z</dcterms:modified>
</cp:coreProperties>
</file>