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二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序号：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杨程瑜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20202241107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网2001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1.问题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（a）问题（略）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光滑度高的模型适合。预测变量数p很小时，这样容易欠拟合，样本量大时光滑度高更接近真实的函数f，同时变量数小不容易过拟合。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（b）问题（略）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光滑度低的模型适合。样本量小预测变量数p很大时光滑度高容易过拟合。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（c）问题（略）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光滑度高的模型适合。光滑度低的模型不好拟合非线性关系，光滑度高的模型更容易拟合非线性关系。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（d）问题（略）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光滑度低的模型适合。光滑度高的模型会拟合很多误差项，导致方差变大。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2.问题（略）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（a）问题（略）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需要一个回归模型，因为因变量是公司CEO的工资。感兴趣的是关于美国500强公司的推断。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n：美国500强公司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p：美国500强公司的利润、员工人数、产业类型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（b）问题（略）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需要一个分类器，原因是其为关于是否成功的二分类问题。感兴趣的是产品是否成功的预测。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n：先前研发的20个相近产品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p：先前研发的20个相近产品的数据：失败或成功的状态、产品的价格成本、市场预算、竞争价格等其他10个变量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（c）问题（略）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需要一个回归模型，因为研究的是美元百分比变化的规律。感兴趣的是预测。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n：2012年的52个星期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p：每周的美元百分比变化：美国市场百分比变化、英国市场百分比变化、德国市场百分比变化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71135" cy="4403090"/>
            <wp:effectExtent l="0" t="0" r="5715" b="16510"/>
            <wp:docPr id="4" name="图片 4" descr="5B0264A0E89E14E1005A197A8CC3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B0264A0E89E14E1005A197A8CC395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偏差：光滑度/自由度增加而单调减少，现象是会产生更紧密更精确的拟合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方差：光滑度/自由度增加而单调增加，现象是会产生过拟合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训练误差：由于光滑度/自由度增加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二单调减少，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现象是会产生更紧密更精确的拟合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测试误差：光滑度/自由度增加而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单调减少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后单调增加（上凹型曲线），现象是先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产生更紧密更精确的拟合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然后产生过拟合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贝叶斯（不可约）误差：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不随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光滑度/自由度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变化，是均方误差的下限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识别手写数字：响应变量是数字类别（0-9），预测变量为扁平化的图片像素值特征。应用的目的是进行预测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，原因是我们只对预测结果感兴趣。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泰坦尼克号乘客生存预测：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响应变量为是否生还，预测变量为乘客的身高体重年龄等信息。应用的目的是进行推断，原因是我们对哪些预测变量使得乘客生还率高感兴趣。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鸢尾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花种类预测：响应变量为花的种类，预测变量为花的四种特征。应用的目的是进行预测，原因是我们只对预测结果感兴趣。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房价预测：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响应变量为房价，预测变量为目标房屋的地理位置、房屋结构等多个特征。应用的目的是进行预测，原因是我们只对预测结果感兴趣。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用户活跃度预测：响应变量为用户活跃度，预测变量为用户的上线时间、浏览时长等多个特征。应用的目的是进行推断，原因是我们对那些使得活跃度高的预测变量感兴趣。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季度销售量预测：响应变量为季度销售量，预测变量为前若干年各个季度的销售量。应用的目的是进行预测，原因是我们只对预测结果感兴趣。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新闻类别聚类、用户类别聚类、城市类型聚类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光滑度高的回归/分类模型：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优点是能够更紧凑更精确的拟合模型，偏差更小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缺点是需要计算的参数更多，并且容易产生过拟合，方差偏大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光滑度低的回归/分类模型：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优点是需要计算的参数比较少，不容易产生过拟合，方差偏小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缺点是拟合的模型不够精确，偏差较大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当自变量和因变量的关系大概率可能为非线性，以及数据样本点很多、参数数量少时，光滑度较高的模型更好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当自变量和因变量的关系大概率可能为非线性，以及数据样本点很多、参数数量少时，光滑度较高的模型更好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参数模型的优点：把将要估计的f限定为一组参数中，简化了具体函数的形式，不需要拟合任意一个函数f。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参数模型的缺点：选定的模型不一定和实际的函数f形式上一致，从而模型不准确，同时也有过拟合的可能。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非参数模型的优点：不对模型做出明确的假设，不限定函数f的形式，可以从更大范围中选择模型，同时模型也更接近真实的函数情况。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非参数模型的缺点：无法将函数限定为一定数量的参数中，一般需要大量的观测点才能进行拟合。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（a）问题（略）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hAnsi="Cambria Math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点1：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e>
        </m:rad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=3</m:t>
        </m:r>
      </m:oMath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cs="宋体" w:eastAsia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点2：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e>
        </m:rad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=2</m:t>
        </m:r>
      </m:oMath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cs="宋体" w:eastAsia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点3：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e>
        </m:rad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eastAsia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≈</m:t>
        </m:r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3.2</m:t>
        </m:r>
      </m:oMath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cs="宋体" w:eastAsia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点4：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e>
        </m:rad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eastAsia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≈</m:t>
        </m:r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2.2</m:t>
        </m:r>
      </m:oMath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cs="宋体" w:eastAsiaTheme="minorEastAsi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点5：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−1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e>
        </m:rad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eastAsia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≈</m:t>
        </m:r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1.4</m:t>
        </m:r>
      </m:oMath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hAnsi="Cambria Math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点6：</w:t>
      </w:r>
      <m:oMath>
        <m:rad>
          <m:radPr>
            <m:degHide m:val="1"/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iCs w:val="0"/>
                    <w:caps w:val="0"/>
                    <w:color w:val="333333"/>
                    <w:spacing w:val="0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 w:cs="宋体"/>
                <w:i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m:ctrlPr>
          </m:e>
        </m:rad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deg>
          <m:e>
            <m:r>
              <m:rPr/>
              <w:rPr>
                <w:rFonts w:hint="default" w:ascii="Cambria Math" w:hAnsi="Cambria Math" w:cs="宋体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cs="宋体"/>
                <w:i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eastAsia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≈</m:t>
        </m:r>
        <m:r>
          <m:rPr/>
          <w:rPr>
            <w:rFonts w:hint="default" w:ascii="Cambria Math" w:hAnsi="Cambria Math" w:cs="宋体"/>
            <w:caps w:val="0"/>
            <w:color w:val="333333"/>
            <w:spacing w:val="0"/>
            <w:sz w:val="24"/>
            <w:szCs w:val="24"/>
            <w:lang w:val="en-US" w:eastAsia="zh-CN"/>
          </w:rPr>
          <m:t>1.7</m:t>
        </m:r>
      </m:oMath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当K=1时，最近的点为点5，预测结果为Green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当K=3时，最近的3个点为点5、点6、点2，占多数的为Red，所以预测结果为Red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（d）问题（略）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所期望的最优K值应该比较小。对于非线性决策边界，较小的K将是更灵活的，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而较大的K会尝试拟合更线性的边界。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8.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college = read.csv("College.csv")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3505200" cy="6286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college = read.csv("College.csv")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rownames(college) = college[,1]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fix(college)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4229100" cy="46101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college = read.csv("College.csv")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college = college[,-1]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fix(college)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0500" cy="37293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college = read.csv("College.csv")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summary(college)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3040" cy="52349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college = read.csv("College.csv")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# 由于前两列不是数值参数，无法进行paris操作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# 故paris从第三列开始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pairs(college[,3:10])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2405" cy="48304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iii.问题（略）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画箱线图需要使用到ggplot2库，首先需要下载ggplot2库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install.packages("ggplot2")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下载完成后使用library(ggplot2)加载ggplot2库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library(ggplot2)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college = read.csv('College.csv')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ggplot(college, aes(x=college$Private, y=college$Outstate)) + geom_boxplot()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076825" cy="4533900"/>
            <wp:effectExtent l="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iv.问题（略）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college = read.csv('College.csv')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Elite = rep("No", nrow(college))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Elite[college$Top10perc&gt;50] = "Yes"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Elite = as.factor(Elite)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college = data.frame(college, Elite)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summary(college$Elite)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plot(college$Elite, college$Outstate)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r>
        <w:drawing>
          <wp:inline distT="0" distB="0" distL="114300" distR="114300">
            <wp:extent cx="3219450" cy="23812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可以看出共有78所精英大学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36195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v.问题（略）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college = read.csv('College.csv')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par(mfrow=c(2,2))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hist(college$Accept,col=2)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hist(college$Enroll,col=3)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hist(college$Top10perc,col=4)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hist(college$Top25perc,col=5)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2405" cy="4830445"/>
            <wp:effectExtent l="0" t="0" r="444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vi.问题（略）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下面对大学的接受率与注册率，以及前25%和前10%的新生之间的关系画散点图进行研究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college = read.csv('College.csv')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fix(college)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par(mfrow=c(1,2))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plot(college$Accept, college$Enroll)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plot(college$Top25perc, college$Top10perc)</w:t>
      </w:r>
    </w:p>
    <w:p>
      <w:r>
        <w:drawing>
          <wp:inline distT="0" distB="0" distL="114300" distR="114300">
            <wp:extent cx="4981575" cy="41052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从图中能够看到随着大学的接收率增长，大学的注册率基本上单调增加。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同时大学中随着是高中班前25%的新生的增长，其是高中班前10%的新生的概率也是单调增加，并且增加的幅度越来越大。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DDC8B"/>
    <w:multiLevelType w:val="singleLevel"/>
    <w:tmpl w:val="D4BDDC8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48FE9B"/>
    <w:multiLevelType w:val="singleLevel"/>
    <w:tmpl w:val="E648FE9B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7913EDA3"/>
    <w:multiLevelType w:val="singleLevel"/>
    <w:tmpl w:val="7913EDA3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jMGE0ZmZmMzEwZDkwYjU1ODhkNTk4YjJkMjg0YjM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171A4203"/>
    <w:rsid w:val="220C09A3"/>
    <w:rsid w:val="5A8B126D"/>
    <w:rsid w:val="5E834691"/>
    <w:rsid w:val="7B9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2081</Words>
  <Characters>3100</Characters>
  <Lines>2</Lines>
  <Paragraphs>1</Paragraphs>
  <TotalTime>2</TotalTime>
  <ScaleCrop>false</ScaleCrop>
  <LinksUpToDate>false</LinksUpToDate>
  <CharactersWithSpaces>3159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WPS_1601561362</cp:lastModifiedBy>
  <dcterms:modified xsi:type="dcterms:W3CDTF">2022-09-15T04:03:18Z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6FE69C4AFBCE425EA41D3A67AF2841CB</vt:lpwstr>
  </property>
</Properties>
</file>