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t>CoopGate 已完成实验与条件性能保证</w:t>
      </w:r>
    </w:p>
    <w:p>
      <w:pPr>
        <w:pStyle w:val="Subtitle"/>
        <w:ind w:firstLine="0"/>
      </w:pPr>
      <w:r>
        <w:t>论文实验及理论补充  2026 年 10 月 26 日</w:t>
      </w:r>
    </w:p>
    <w:p>
      <w:pPr>
        <w:pStyle w:val="Heading1"/>
        <w:ind w:firstLine="0"/>
      </w:pPr>
      <w:r>
        <w:t>1 完整闭环结果及研究结论</w:t>
      </w:r>
    </w:p>
    <w:p>
      <w:pPr>
        <w:spacing w:after="100"/>
        <w:ind w:firstLine="420"/>
      </w:pPr>
      <w:r>
        <w:t>学习决策相对传统控制器的实用价值，需要同时考察收益、实际采用和采用后的逐车损害。我们在固定反馈恢复基线上，对完整联合动作进行物理过滤和有限扰动性能评估。已完成的全网格实验表明，扰动集合门控保留正团队收益并减少退化，但有限路径评估仍会误放有害动作，不能直接等同于真实扰动下的性能保证。</w:t>
      </w:r>
    </w:p>
    <w:p>
      <w:pPr>
        <w:spacing w:after="100"/>
        <w:ind w:firstLine="420"/>
      </w:pPr>
      <w:r>
        <w:t>全部 8,320 次真实 SUMO 执行与独立完整重放覆盖五类场景各 32 个旧初态、四类动力学及三个固定模型，共 640 个封存块。独立初态为 160 个；重复动力学、模型和恢复执行不增加独立样本量。下表是完整开发范围的描述性结果，不作新的显著性或总体风险认证。</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757"/>
        <w:gridCol w:w="1531"/>
        <w:gridCol w:w="1644"/>
        <w:gridCol w:w="1814"/>
      </w:tblGrid>
      <w:tr>
        <w:trPr>
          <w:cantSplit/>
          <w:tblHeader/>
        </w:trPr>
        <w:tc>
          <w:tcPr>
            <w:tcW w:type="dxa" w:w="2551"/>
            <w:vAlign w:val="center"/>
            <w:tcMar>
              <w:top w:w="80" w:type="dxa"/>
              <w:left w:w="80" w:type="dxa"/>
              <w:bottom w:w="80" w:type="dxa"/>
              <w:right w:w="80" w:type="dxa"/>
            </w:tcMar>
            <w:shd w:fill="DCE6F1"/>
          </w:tcPr>
          <w:p>
            <w:pPr>
              <w:spacing w:after="60" w:before="60" w:line="252" w:lineRule="auto"/>
              <w:ind w:firstLine="0"/>
              <w:jc w:val="left"/>
            </w:pPr>
            <w:r>
              <w:rPr>
                <w:b/>
                <w:sz w:val="20"/>
              </w:rPr>
              <w:t>控制器</w:t>
            </w:r>
          </w:p>
        </w:tc>
        <w:tc>
          <w:tcPr>
            <w:tcW w:type="dxa" w:w="1757"/>
            <w:vAlign w:val="center"/>
            <w:tcMar>
              <w:top w:w="80" w:type="dxa"/>
              <w:left w:w="80" w:type="dxa"/>
              <w:bottom w:w="80" w:type="dxa"/>
              <w:right w:w="80" w:type="dxa"/>
            </w:tcMar>
            <w:shd w:fill="DCE6F1"/>
          </w:tcPr>
          <w:p>
            <w:pPr>
              <w:spacing w:after="60" w:before="60" w:line="252" w:lineRule="auto"/>
              <w:ind w:firstLine="0"/>
              <w:jc w:val="center"/>
            </w:pPr>
            <w:r>
              <w:rPr>
                <w:b/>
                <w:sz w:val="20"/>
              </w:rPr>
              <w:t>完成／运行</w:t>
            </w:r>
          </w:p>
        </w:tc>
        <w:tc>
          <w:tcPr>
            <w:tcW w:type="dxa" w:w="1531"/>
            <w:vAlign w:val="center"/>
            <w:tcMar>
              <w:top w:w="80" w:type="dxa"/>
              <w:left w:w="80" w:type="dxa"/>
              <w:bottom w:w="80" w:type="dxa"/>
              <w:right w:w="80" w:type="dxa"/>
            </w:tcMar>
            <w:shd w:fill="DCE6F1"/>
          </w:tcPr>
          <w:p>
            <w:pPr>
              <w:spacing w:after="60" w:before="60" w:line="252" w:lineRule="auto"/>
              <w:ind w:firstLine="0"/>
              <w:jc w:val="center"/>
            </w:pPr>
            <w:r>
              <w:rPr>
                <w:b/>
                <w:sz w:val="20"/>
              </w:rPr>
              <w:t>采用回合</w:t>
            </w:r>
          </w:p>
        </w:tc>
        <w:tc>
          <w:tcPr>
            <w:tcW w:type="dxa" w:w="1644"/>
            <w:vAlign w:val="center"/>
            <w:tcMar>
              <w:top w:w="80" w:type="dxa"/>
              <w:left w:w="80" w:type="dxa"/>
              <w:bottom w:w="80" w:type="dxa"/>
              <w:right w:w="80" w:type="dxa"/>
            </w:tcMar>
            <w:shd w:fill="DCE6F1"/>
          </w:tcPr>
          <w:p>
            <w:pPr>
              <w:spacing w:after="60" w:before="60" w:line="252" w:lineRule="auto"/>
              <w:ind w:firstLine="0"/>
              <w:jc w:val="center"/>
            </w:pPr>
            <w:r>
              <w:rPr>
                <w:b/>
                <w:sz w:val="20"/>
              </w:rPr>
              <w:t>采用且退化</w:t>
            </w:r>
          </w:p>
        </w:tc>
        <w:tc>
          <w:tcPr>
            <w:tcW w:type="dxa" w:w="1814"/>
            <w:vAlign w:val="center"/>
            <w:tcMar>
              <w:top w:w="80" w:type="dxa"/>
              <w:left w:w="80" w:type="dxa"/>
              <w:bottom w:w="80" w:type="dxa"/>
              <w:right w:w="80" w:type="dxa"/>
            </w:tcMar>
            <w:shd w:fill="DCE6F1"/>
          </w:tcPr>
          <w:p>
            <w:pPr>
              <w:spacing w:after="60" w:before="60" w:line="252" w:lineRule="auto"/>
              <w:ind w:firstLine="0"/>
              <w:jc w:val="center"/>
            </w:pPr>
            <w:r>
              <w:rPr>
                <w:b/>
                <w:sz w:val="20"/>
              </w:rPr>
              <w:t>成本改善</w:t>
            </w:r>
          </w:p>
        </w:tc>
      </w:tr>
      <w:tr>
        <w:trPr>
          <w:cantSplit/>
        </w:trPr>
        <w:tc>
          <w:tcPr>
            <w:tcW w:type="dxa" w:w="2551"/>
            <w:vAlign w:val="center"/>
            <w:tcMar>
              <w:top w:w="80" w:type="dxa"/>
              <w:left w:w="80" w:type="dxa"/>
              <w:bottom w:w="80" w:type="dxa"/>
              <w:right w:w="80" w:type="dxa"/>
            </w:tcMar>
          </w:tcPr>
          <w:p>
            <w:pPr>
              <w:spacing w:after="60" w:before="60" w:line="252" w:lineRule="auto"/>
              <w:ind w:firstLine="0"/>
              <w:jc w:val="left"/>
            </w:pPr>
            <w:r>
              <w:rPr>
                <w:b w:val="0"/>
                <w:sz w:val="20"/>
              </w:rPr>
              <w:t>共同反馈基线</w:t>
            </w:r>
          </w:p>
        </w:tc>
        <w:tc>
          <w:tcPr>
            <w:tcW w:type="dxa" w:w="1757"/>
            <w:vAlign w:val="center"/>
            <w:tcMar>
              <w:top w:w="80" w:type="dxa"/>
              <w:left w:w="80" w:type="dxa"/>
              <w:bottom w:w="80" w:type="dxa"/>
              <w:right w:w="80" w:type="dxa"/>
            </w:tcMar>
          </w:tcPr>
          <w:p>
            <w:pPr>
              <w:spacing w:after="60" w:before="60" w:line="252" w:lineRule="auto"/>
              <w:ind w:firstLine="0"/>
              <w:jc w:val="center"/>
            </w:pPr>
            <w:r>
              <w:rPr>
                <w:b w:val="0"/>
                <w:sz w:val="20"/>
              </w:rPr>
              <w:t>640/640</w:t>
            </w:r>
          </w:p>
        </w:tc>
        <w:tc>
          <w:tcPr>
            <w:tcW w:type="dxa" w:w="1531"/>
            <w:vAlign w:val="center"/>
            <w:tcMar>
              <w:top w:w="80" w:type="dxa"/>
              <w:left w:w="80" w:type="dxa"/>
              <w:bottom w:w="80" w:type="dxa"/>
              <w:right w:w="80" w:type="dxa"/>
            </w:tcMar>
          </w:tcPr>
          <w:p>
            <w:pPr>
              <w:spacing w:after="60" w:before="60" w:line="252" w:lineRule="auto"/>
              <w:ind w:firstLine="0"/>
              <w:jc w:val="center"/>
            </w:pPr>
            <w:r>
              <w:rPr>
                <w:b w:val="0"/>
                <w:sz w:val="20"/>
              </w:rPr>
              <w:t>0</w:t>
            </w:r>
          </w:p>
        </w:tc>
        <w:tc>
          <w:tcPr>
            <w:tcW w:type="dxa" w:w="1644"/>
            <w:vAlign w:val="center"/>
            <w:tcMar>
              <w:top w:w="80" w:type="dxa"/>
              <w:left w:w="80" w:type="dxa"/>
              <w:bottom w:w="80" w:type="dxa"/>
              <w:right w:w="80" w:type="dxa"/>
            </w:tcMar>
          </w:tcPr>
          <w:p>
            <w:pPr>
              <w:spacing w:after="60" w:before="60" w:line="252" w:lineRule="auto"/>
              <w:ind w:firstLine="0"/>
              <w:jc w:val="center"/>
            </w:pPr>
            <w:r>
              <w:rPr>
                <w:b w:val="0"/>
                <w:sz w:val="20"/>
              </w:rPr>
              <w:t>0</w:t>
            </w:r>
          </w:p>
        </w:tc>
        <w:tc>
          <w:tcPr>
            <w:tcW w:type="dxa" w:w="1814"/>
            <w:vAlign w:val="center"/>
            <w:tcMar>
              <w:top w:w="80" w:type="dxa"/>
              <w:left w:w="80" w:type="dxa"/>
              <w:bottom w:w="80" w:type="dxa"/>
              <w:right w:w="80" w:type="dxa"/>
            </w:tcMar>
          </w:tcPr>
          <w:p>
            <w:pPr>
              <w:spacing w:after="60" w:before="60" w:line="252" w:lineRule="auto"/>
              <w:ind w:firstLine="0"/>
              <w:jc w:val="center"/>
            </w:pPr>
            <w:r>
              <w:rPr>
                <w:b w:val="0"/>
                <w:sz w:val="20"/>
              </w:rPr>
              <w:t>0.0000%</w:t>
            </w:r>
          </w:p>
        </w:tc>
      </w:tr>
      <w:tr>
        <w:trPr>
          <w:cantSplit/>
        </w:trPr>
        <w:tc>
          <w:tcPr>
            <w:tcW w:type="dxa" w:w="2551"/>
            <w:vAlign w:val="center"/>
            <w:tcMar>
              <w:top w:w="80" w:type="dxa"/>
              <w:left w:w="80" w:type="dxa"/>
              <w:bottom w:w="80" w:type="dxa"/>
              <w:right w:w="80" w:type="dxa"/>
            </w:tcMar>
          </w:tcPr>
          <w:p>
            <w:pPr>
              <w:spacing w:after="60" w:before="60" w:line="252" w:lineRule="auto"/>
              <w:ind w:firstLine="0"/>
              <w:jc w:val="left"/>
            </w:pPr>
            <w:r>
              <w:rPr>
                <w:b w:val="0"/>
                <w:sz w:val="20"/>
              </w:rPr>
              <w:t>标称性能门控</w:t>
            </w:r>
          </w:p>
        </w:tc>
        <w:tc>
          <w:tcPr>
            <w:tcW w:type="dxa" w:w="1757"/>
            <w:vAlign w:val="center"/>
            <w:tcMar>
              <w:top w:w="80" w:type="dxa"/>
              <w:left w:w="80" w:type="dxa"/>
              <w:bottom w:w="80" w:type="dxa"/>
              <w:right w:w="80" w:type="dxa"/>
            </w:tcMar>
          </w:tcPr>
          <w:p>
            <w:pPr>
              <w:spacing w:after="60" w:before="60" w:line="252" w:lineRule="auto"/>
              <w:ind w:firstLine="0"/>
              <w:jc w:val="center"/>
            </w:pPr>
            <w:r>
              <w:rPr>
                <w:b w:val="0"/>
                <w:sz w:val="20"/>
              </w:rPr>
              <w:t>1920/1920</w:t>
            </w:r>
          </w:p>
        </w:tc>
        <w:tc>
          <w:tcPr>
            <w:tcW w:type="dxa" w:w="1531"/>
            <w:vAlign w:val="center"/>
            <w:tcMar>
              <w:top w:w="80" w:type="dxa"/>
              <w:left w:w="80" w:type="dxa"/>
              <w:bottom w:w="80" w:type="dxa"/>
              <w:right w:w="80" w:type="dxa"/>
            </w:tcMar>
          </w:tcPr>
          <w:p>
            <w:pPr>
              <w:spacing w:after="60" w:before="60" w:line="252" w:lineRule="auto"/>
              <w:ind w:firstLine="0"/>
              <w:jc w:val="center"/>
            </w:pPr>
            <w:r>
              <w:rPr>
                <w:b w:val="0"/>
                <w:sz w:val="20"/>
              </w:rPr>
              <w:t>1728</w:t>
            </w:r>
          </w:p>
        </w:tc>
        <w:tc>
          <w:tcPr>
            <w:tcW w:type="dxa" w:w="1644"/>
            <w:vAlign w:val="center"/>
            <w:tcMar>
              <w:top w:w="80" w:type="dxa"/>
              <w:left w:w="80" w:type="dxa"/>
              <w:bottom w:w="80" w:type="dxa"/>
              <w:right w:w="80" w:type="dxa"/>
            </w:tcMar>
          </w:tcPr>
          <w:p>
            <w:pPr>
              <w:spacing w:after="60" w:before="60" w:line="252" w:lineRule="auto"/>
              <w:ind w:firstLine="0"/>
              <w:jc w:val="center"/>
            </w:pPr>
            <w:r>
              <w:rPr>
                <w:b w:val="0"/>
                <w:sz w:val="20"/>
              </w:rPr>
              <w:t>145</w:t>
            </w:r>
          </w:p>
        </w:tc>
        <w:tc>
          <w:tcPr>
            <w:tcW w:type="dxa" w:w="1814"/>
            <w:vAlign w:val="center"/>
            <w:tcMar>
              <w:top w:w="80" w:type="dxa"/>
              <w:left w:w="80" w:type="dxa"/>
              <w:bottom w:w="80" w:type="dxa"/>
              <w:right w:w="80" w:type="dxa"/>
            </w:tcMar>
          </w:tcPr>
          <w:p>
            <w:pPr>
              <w:spacing w:after="60" w:before="60" w:line="252" w:lineRule="auto"/>
              <w:ind w:firstLine="0"/>
              <w:jc w:val="center"/>
            </w:pPr>
            <w:r>
              <w:rPr>
                <w:b w:val="0"/>
                <w:sz w:val="20"/>
              </w:rPr>
              <w:t>2.9095%</w:t>
            </w:r>
          </w:p>
        </w:tc>
      </w:tr>
      <w:tr>
        <w:trPr>
          <w:cantSplit/>
        </w:trPr>
        <w:tc>
          <w:tcPr>
            <w:tcW w:type="dxa" w:w="2551"/>
            <w:vAlign w:val="center"/>
            <w:tcMar>
              <w:top w:w="80" w:type="dxa"/>
              <w:left w:w="80" w:type="dxa"/>
              <w:bottom w:w="80" w:type="dxa"/>
              <w:right w:w="80" w:type="dxa"/>
            </w:tcMar>
          </w:tcPr>
          <w:p>
            <w:pPr>
              <w:spacing w:after="60" w:before="60" w:line="252" w:lineRule="auto"/>
              <w:ind w:firstLine="0"/>
              <w:jc w:val="left"/>
            </w:pPr>
            <w:r>
              <w:rPr>
                <w:b w:val="0"/>
                <w:sz w:val="20"/>
              </w:rPr>
              <w:t>扰动集合性能门控</w:t>
            </w:r>
          </w:p>
        </w:tc>
        <w:tc>
          <w:tcPr>
            <w:tcW w:type="dxa" w:w="1757"/>
            <w:vAlign w:val="center"/>
            <w:tcMar>
              <w:top w:w="80" w:type="dxa"/>
              <w:left w:w="80" w:type="dxa"/>
              <w:bottom w:w="80" w:type="dxa"/>
              <w:right w:w="80" w:type="dxa"/>
            </w:tcMar>
          </w:tcPr>
          <w:p>
            <w:pPr>
              <w:spacing w:after="60" w:before="60" w:line="252" w:lineRule="auto"/>
              <w:ind w:firstLine="0"/>
              <w:jc w:val="center"/>
            </w:pPr>
            <w:r>
              <w:rPr>
                <w:b w:val="0"/>
                <w:sz w:val="20"/>
              </w:rPr>
              <w:t>1920/1920</w:t>
            </w:r>
          </w:p>
        </w:tc>
        <w:tc>
          <w:tcPr>
            <w:tcW w:type="dxa" w:w="1531"/>
            <w:vAlign w:val="center"/>
            <w:tcMar>
              <w:top w:w="80" w:type="dxa"/>
              <w:left w:w="80" w:type="dxa"/>
              <w:bottom w:w="80" w:type="dxa"/>
              <w:right w:w="80" w:type="dxa"/>
            </w:tcMar>
          </w:tcPr>
          <w:p>
            <w:pPr>
              <w:spacing w:after="60" w:before="60" w:line="252" w:lineRule="auto"/>
              <w:ind w:firstLine="0"/>
              <w:jc w:val="center"/>
            </w:pPr>
            <w:r>
              <w:rPr>
                <w:b w:val="0"/>
                <w:sz w:val="20"/>
              </w:rPr>
              <w:t>1150</w:t>
            </w:r>
          </w:p>
        </w:tc>
        <w:tc>
          <w:tcPr>
            <w:tcW w:type="dxa" w:w="1644"/>
            <w:vAlign w:val="center"/>
            <w:tcMar>
              <w:top w:w="80" w:type="dxa"/>
              <w:left w:w="80" w:type="dxa"/>
              <w:bottom w:w="80" w:type="dxa"/>
              <w:right w:w="80" w:type="dxa"/>
            </w:tcMar>
          </w:tcPr>
          <w:p>
            <w:pPr>
              <w:spacing w:after="60" w:before="60" w:line="252" w:lineRule="auto"/>
              <w:ind w:firstLine="0"/>
              <w:jc w:val="center"/>
            </w:pPr>
            <w:r>
              <w:rPr>
                <w:b w:val="0"/>
                <w:sz w:val="20"/>
              </w:rPr>
              <w:t>5</w:t>
            </w:r>
          </w:p>
        </w:tc>
        <w:tc>
          <w:tcPr>
            <w:tcW w:type="dxa" w:w="1814"/>
            <w:vAlign w:val="center"/>
            <w:tcMar>
              <w:top w:w="80" w:type="dxa"/>
              <w:left w:w="80" w:type="dxa"/>
              <w:bottom w:w="80" w:type="dxa"/>
              <w:right w:w="80" w:type="dxa"/>
            </w:tcMar>
          </w:tcPr>
          <w:p>
            <w:pPr>
              <w:spacing w:after="60" w:before="60" w:line="252" w:lineRule="auto"/>
              <w:ind w:firstLine="0"/>
              <w:jc w:val="center"/>
            </w:pPr>
            <w:r>
              <w:rPr>
                <w:b w:val="0"/>
                <w:sz w:val="20"/>
              </w:rPr>
              <w:t>1.7235%</w:t>
            </w:r>
          </w:p>
        </w:tc>
      </w:tr>
    </w:tbl>
    <w:p>
      <w:pPr>
        <w:spacing w:after="100"/>
        <w:ind w:firstLine="420"/>
      </w:pPr>
    </w:p>
    <w:p>
      <w:pPr>
        <w:spacing w:after="100"/>
        <w:ind w:firstLine="420"/>
      </w:pPr>
      <w:r>
        <w:t>集合门控的回合采用率为 59.8958%，采用内经验损害比例为 5/1,150，即 0.4348%；标称门控为 145/1,728，即 8.3912%。两者采用集合不同，比例差异不能解释为同一人群上的随机处理效果。相同完整分母下的联合事件频率分别为 5/1,920 与 145/1,920。</w:t>
      </w:r>
    </w:p>
    <w:p>
      <w:pPr>
        <w:spacing w:after="100"/>
        <w:ind w:firstLine="420"/>
      </w:pPr>
      <w:r>
        <w:t>成本改善按配对范围的基线成本总和计算，不是逐回合百分比的平均值。集合门控在三个固定模型上的改善分别为 1.7671%、1.6852% 和 1.7182%；所有模型均保留，未选择最佳模型报告。该结果没有证明原始学习策略普遍优于基线，也不替代真实 MARL 训练及协作机制的专项证据。</w:t>
      </w:r>
    </w:p>
    <w:p>
      <w:r>
        <w:br w:type="page"/>
      </w:r>
    </w:p>
    <w:p>
      <w:pPr>
        <w:pStyle w:val="Heading1"/>
        <w:ind w:firstLine="0"/>
      </w:pPr>
      <w:r>
        <w:t>2 性能保证的数学条件与保留反例</w:t>
      </w:r>
    </w:p>
    <w:p>
      <w:pPr>
        <w:spacing w:after="100"/>
        <w:ind w:firstLine="420"/>
      </w:pPr>
      <w:r>
        <w:t>令 z 包含使闭环具有 Markov 性的全部状态：车辆状态、执行器记忆与命令队列、上一命令、到达标记、时钟及控制器所需历史。每车成本 J 为登记完成时间 T 加 0.05 倍累计命令变化量 D。D 是控制命令变化量，不能当作实车 jerk。固定实际外生序列 ω，并以同一反馈基线 b 定义有限时域剩余值函数。</w:t>
      </w:r>
    </w:p>
    <w:p>
      <w:pPr>
        <w:spacing w:after="140"/>
        <w:ind w:firstLine="0"/>
        <w:jc w:val="center"/>
      </w:pPr>
      <m:oMath>
        <m:r>
          <m:t>Vᵇₜ,ω(z) = c(z,bₜ(z)) + Vᵇₜ₊₁,ω(fₜ,ω(z,bₜ(z)))</m:t>
        </m:r>
      </m:oMath>
    </w:p>
    <w:p>
      <w:pPr>
        <w:spacing w:after="140"/>
        <w:ind w:firstLine="0"/>
        <w:jc w:val="center"/>
      </w:pPr>
      <m:oMath>
        <m:r>
          <m:t>δₜ,ω(z,a) = c(z,a) + Vᵇₜ₊₁,ω(fₜ,ω(z,a)) − Vᵇₜ,ω(z)</m:t>
        </m:r>
      </m:oMath>
    </w:p>
    <w:p>
      <w:pPr>
        <w:spacing w:after="100"/>
        <w:ind w:firstLine="420"/>
      </w:pPr>
      <w:r>
        <w:t>命题 1。若实际转移与评估模型完全一致，实际 ω 属于验证集合，剩余值函数与成本计算精确，且每个执行的完整联合动作均对全部车辆和指标满足 δ≤0，那么门控闭环相对同初态、同 ω 下的独立反馈基线不退化。物理约束仍需另由其有效假设下的过滤器保证。</w:t>
      </w:r>
    </w:p>
    <w:p>
      <w:pPr>
        <w:spacing w:after="140"/>
        <w:ind w:firstLine="0"/>
        <w:jc w:val="center"/>
      </w:pPr>
      <m:oMath>
        <m:r>
          <m:t>Jᵍω,i − Jᵇω,i = Σₜ₌₀ᴴ⁻¹ δₜ,ω,i(zₜ,aₜ) ≤ 0</m:t>
        </m:r>
      </m:oMath>
    </w:p>
    <w:p>
      <w:pPr>
        <w:spacing w:after="100"/>
        <w:ind w:firstLine="420"/>
      </w:pPr>
      <w:r>
        <w:t>证明。将 δ 的定义沿实际门控轨迹求和，连续两步的基线值函数相消；终端值为零，初始值等于对应反馈基线的总成本。回退动作使用同一 b，因此其 δ 为零。证明必须评价完整联合动作；逐车单独替换可行不能推出组合后仍可行。这是标准策略改进恒等式的条件应用，不作为新定理。若每步只保证真实 δ≤ε，则只能得到 Hε；数值评估误差还须另计。</w:t>
      </w:r>
    </w:p>
    <w:p>
      <w:pPr>
        <w:spacing w:after="100"/>
        <w:ind w:firstLine="420"/>
      </w:pPr>
      <w:r>
        <w:t>已完成的 16 次原生分支重放覆盖五个集合门控退化案例的八个采用点，并准确重构原回合差值。这些案例来自四个旧初态，属于事后机制解释，不产生新的独立样本或发生率估计。真实参数及记忆只用于离线 oracle，不进入部署控制器。</w:t>
      </w:r>
    </w:p>
    <w:p>
      <w:pPr>
        <w:spacing w:after="100"/>
        <w:ind w:firstLine="420"/>
      </w:pPr>
      <w:r>
        <w:t>即使名义模型精确，有限路径仍有反例。低速让行初态 18、模型 1822 中，诊断插值越线时间由 9.984358 s 变为 10.007796 s，延迟仅 0.0234375 s，却使原 0.5 s 网格完成时间由 10.0 s 变为 10.5 s。命令变化量减少 2.5，因此原成本增加 0.5−0.05×2.5=0.375。相位误差小于 0.05 s 不能推出原成本不退化；不能改变主指标或放宽容差删除该事件。</w:t>
      </w:r>
    </w:p>
    <w:p>
      <w:r>
        <w:br w:type="page"/>
      </w:r>
    </w:p>
    <w:p>
      <w:pPr>
        <w:pStyle w:val="Heading1"/>
        <w:ind w:firstLine="0"/>
      </w:pPr>
      <w:r>
        <w:t>3 风险与收益联合判定的统计逻辑</w:t>
      </w:r>
    </w:p>
    <w:p>
      <w:pPr>
        <w:spacing w:after="100"/>
        <w:ind w:firstLine="420"/>
      </w:pPr>
      <w:r>
        <w:t>在线通过有限扰动 bank 表示候选通过指定预测检查，不是当前状态的概率置信度。独立统计命题针对冻结完整控制器在预声明分布上的闭环行为。A 表示回合至少实际采用一次有效学习命令；H 表示任一车辆成本或登记完成时间增加，或执行失败。主要目标是 r=P(H=1 | A=1)，并同时限制采用率和团队收益，防止用几乎始终回退来取得表面低风险。</w:t>
      </w:r>
    </w:p>
    <w:p>
      <w:pPr>
        <w:spacing w:after="140"/>
        <w:ind w:firstLine="0"/>
        <w:jc w:val="center"/>
      </w:pPr>
      <m:oMath>
        <m:r>
          <m:t>r = P(H∩A)/P(A) = q/a， a &gt; 0</m:t>
        </m:r>
      </m:oMath>
    </w:p>
    <w:p>
      <w:pPr>
        <w:spacing w:after="100"/>
        <w:ind w:firstLine="420"/>
      </w:pPr>
      <w:r>
        <w:t>平衡校准含四类执行器各 768 个新独立初态；固定分层计数不能把所有采用样本直接视为同一二项样本。对层 s 的 qₛ=P(H∩A | s) 和 aₛ=P(A | s)，分别构造上界 Uq,ₛ 与下界 La,ₛ。在该项风险的 α 内，对四层的八个单侧界各分配 α/8；已知混合权重 wₛ=1/4 时，有：</w:t>
      </w:r>
    </w:p>
    <w:p>
      <w:pPr>
        <w:spacing w:after="140"/>
        <w:ind w:firstLine="0"/>
        <w:jc w:val="center"/>
      </w:pPr>
      <m:oMath>
        <m:r>
          <m:t>r ≤ min{1, (Σₛ wₛUq,ₛ)/(Σₛ wₛLa,ₛ)}</m:t>
        </m:r>
      </m:oMath>
    </w:p>
    <w:p>
      <w:pPr>
        <w:spacing w:after="100"/>
        <w:ind w:firstLine="420"/>
      </w:pPr>
      <w:r>
        <w:t>上述有限样本结论要求层内独立同分布、完整冻结控制器、事先固定权重及正的分母下界。证明由八个有效覆盖事件的并集界与比值单调性得到。分母下界为零时不可认证。强滞后子分布另用层内采用条件下的精确二项检验，混合风险合格不能自动推出每个场景或任意分布外风险合格。</w:t>
      </w:r>
    </w:p>
    <w:p>
      <w:pPr>
        <w:spacing w:after="100"/>
        <w:ind w:firstLine="420"/>
      </w:pPr>
      <w:r>
        <w:t>三个固定模型均须同时满足混合及强滞后风险不超过 5%、确认分布采用率下界至少 20%、配对团队百分比改善下界大于 0.5%，并保留零观测执行失败这一工程验收条件。确认集为 1,024 个另行 IID 混合初态；每行先计算配对百分比改善，再作均值检验，其指标不同于第 1 节的合计成本改善。</w:t>
      </w:r>
    </w:p>
    <w:p>
      <w:pPr>
        <w:spacing w:after="140"/>
        <w:ind w:firstLine="0"/>
        <w:jc w:val="center"/>
      </w:pPr>
      <m:oMath>
        <m:r>
          <m:t>Gₖ = 100(Jᵇteam,k − Jᵍteam,k)/Jᵇteam,k</m:t>
        </m:r>
      </m:oMath>
    </w:p>
    <w:p>
      <w:pPr>
        <w:spacing w:after="100"/>
        <w:ind w:firstLine="420"/>
      </w:pPr>
      <w:r>
        <w:t>固定全部分项同时通过是交并检验：只要某项真实不合格，整个方案错误通过必然包含该不合格项错误通过。因此可用分项 p 值的最大值检验整体命题，不要求各模型独立；这不产生所有分项区间的联合覆盖。第二次尝试沿用 α=0.05/6，不重用第一轮预算。</w:t>
      </w:r>
    </w:p>
    <w:p>
      <w:pPr>
        <w:spacing w:after="100"/>
        <w:ind w:firstLine="420"/>
      </w:pPr>
      <w:r>
        <w:t>采用与风险项使用有限样本二项界；收益项的单侧 t 下界仅在 IID 正态配对增益下精确，一般有限方差下属于渐近论证。不能将整体包装为任意分布下的有限样本保证。基线失败的配对仍保留且阻止验收；零观测失败不等于总体失败概率为零。当前正式两阶段实验尚未完成，不据此填写通过结论。</w:t>
      </w:r>
    </w:p>
    <w:p>
      <w:r>
        <w:br w:type="page"/>
      </w:r>
    </w:p>
    <w:p>
      <w:pPr>
        <w:pStyle w:val="Heading1"/>
        <w:ind w:firstLine="0"/>
      </w:pPr>
      <w:r>
        <w:t>4 公平对照与工程适用范围</w:t>
      </w:r>
    </w:p>
    <w:p>
      <w:pPr>
        <w:spacing w:after="100"/>
        <w:ind w:firstLine="420"/>
      </w:pPr>
      <w:r>
        <w:t>MAMPS 已研究耦合多智能体的学习／回退选择，DMPS 已研究任务相关的安全恢复，CSPI 和 Learn then Test 已提供策略改进检验及风险校准工具。因此，联合切换、加入扰动采样或使用二项检验本身均不能作为首次贡献。本文应由同一闭环的实际收益、采用和逐车退化取舍，以及明确的模型失效机制支撑贡献。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2381"/>
        <w:gridCol w:w="3969"/>
      </w:tblGrid>
      <w:tr>
        <w:trPr>
          <w:cantSplit/>
          <w:tblHeader/>
        </w:trPr>
        <w:tc>
          <w:tcPr>
            <w:tcW w:type="dxa" w:w="2948"/>
            <w:vAlign w:val="center"/>
            <w:tcMar>
              <w:top w:w="80" w:type="dxa"/>
              <w:left w:w="80" w:type="dxa"/>
              <w:bottom w:w="80" w:type="dxa"/>
              <w:right w:w="80" w:type="dxa"/>
            </w:tcMar>
            <w:shd w:fill="DCE6F1"/>
          </w:tcPr>
          <w:p>
            <w:pPr>
              <w:spacing w:after="60" w:before="60" w:line="252" w:lineRule="auto"/>
              <w:ind w:firstLine="0"/>
              <w:jc w:val="left"/>
            </w:pPr>
            <w:r>
              <w:rPr>
                <w:b/>
                <w:sz w:val="20"/>
              </w:rPr>
              <w:t>预登记比较</w:t>
            </w:r>
          </w:p>
        </w:tc>
        <w:tc>
          <w:tcPr>
            <w:tcW w:type="dxa" w:w="2381"/>
            <w:vAlign w:val="center"/>
            <w:tcMar>
              <w:top w:w="80" w:type="dxa"/>
              <w:left w:w="80" w:type="dxa"/>
              <w:bottom w:w="80" w:type="dxa"/>
              <w:right w:w="80" w:type="dxa"/>
            </w:tcMar>
            <w:shd w:fill="DCE6F1"/>
          </w:tcPr>
          <w:p>
            <w:pPr>
              <w:spacing w:after="60" w:before="60" w:line="252" w:lineRule="auto"/>
              <w:ind w:firstLine="0"/>
              <w:jc w:val="center"/>
            </w:pPr>
            <w:r>
              <w:rPr>
                <w:b/>
                <w:sz w:val="20"/>
              </w:rPr>
              <w:t>固定范围</w:t>
            </w:r>
          </w:p>
        </w:tc>
        <w:tc>
          <w:tcPr>
            <w:tcW w:type="dxa" w:w="3969"/>
            <w:vAlign w:val="center"/>
            <w:tcMar>
              <w:top w:w="80" w:type="dxa"/>
              <w:left w:w="80" w:type="dxa"/>
              <w:bottom w:w="80" w:type="dxa"/>
              <w:right w:w="80" w:type="dxa"/>
            </w:tcMar>
            <w:shd w:fill="DCE6F1"/>
          </w:tcPr>
          <w:p>
            <w:pPr>
              <w:spacing w:after="60" w:before="60" w:line="252" w:lineRule="auto"/>
              <w:ind w:firstLine="0"/>
              <w:jc w:val="center"/>
            </w:pPr>
            <w:r>
              <w:rPr>
                <w:b/>
                <w:sz w:val="20"/>
              </w:rPr>
              <w:t>回答的问题</w:t>
            </w:r>
          </w:p>
        </w:tc>
      </w:tr>
      <w:tr>
        <w:trPr>
          <w:cantSplit/>
        </w:trPr>
        <w:tc>
          <w:tcPr>
            <w:tcW w:type="dxa" w:w="2948"/>
            <w:vAlign w:val="center"/>
            <w:tcMar>
              <w:top w:w="80" w:type="dxa"/>
              <w:left w:w="80" w:type="dxa"/>
              <w:bottom w:w="80" w:type="dxa"/>
              <w:right w:w="80" w:type="dxa"/>
            </w:tcMar>
          </w:tcPr>
          <w:p>
            <w:pPr>
              <w:spacing w:after="60" w:before="60" w:line="252" w:lineRule="auto"/>
              <w:ind w:firstLine="0"/>
              <w:jc w:val="left"/>
            </w:pPr>
            <w:r>
              <w:rPr>
                <w:b w:val="0"/>
                <w:sz w:val="20"/>
              </w:rPr>
              <w:t>共享证据且保留失败</w:t>
            </w:r>
          </w:p>
        </w:tc>
        <w:tc>
          <w:tcPr>
            <w:tcW w:type="dxa" w:w="2381"/>
            <w:vAlign w:val="center"/>
            <w:tcMar>
              <w:top w:w="80" w:type="dxa"/>
              <w:left w:w="80" w:type="dxa"/>
              <w:bottom w:w="80" w:type="dxa"/>
              <w:right w:w="80" w:type="dxa"/>
            </w:tcMar>
          </w:tcPr>
          <w:p>
            <w:pPr>
              <w:spacing w:after="60" w:before="60" w:line="252" w:lineRule="auto"/>
              <w:ind w:firstLine="0"/>
              <w:jc w:val="center"/>
            </w:pPr>
            <w:r>
              <w:rPr>
                <w:b w:val="0"/>
                <w:sz w:val="20"/>
              </w:rPr>
              <w:t>640 个 IID 初态</w:t>
              <w:br/>
              <w:t>5,120 次执行</w:t>
            </w:r>
          </w:p>
        </w:tc>
        <w:tc>
          <w:tcPr>
            <w:tcW w:type="dxa" w:w="3969"/>
            <w:vAlign w:val="center"/>
            <w:tcMar>
              <w:top w:w="80" w:type="dxa"/>
              <w:left w:w="80" w:type="dxa"/>
              <w:bottom w:w="80" w:type="dxa"/>
              <w:right w:w="80" w:type="dxa"/>
            </w:tcMar>
          </w:tcPr>
          <w:p>
            <w:pPr>
              <w:spacing w:after="60" w:before="60" w:line="252" w:lineRule="auto"/>
              <w:ind w:firstLine="0"/>
              <w:jc w:val="center"/>
            </w:pPr>
            <w:r>
              <w:rPr>
                <w:b w:val="0"/>
                <w:sz w:val="20"/>
              </w:rPr>
              <w:t>同等证据构造计费下的选择器比较</w:t>
            </w:r>
          </w:p>
        </w:tc>
      </w:tr>
      <w:tr>
        <w:trPr>
          <w:cantSplit/>
        </w:trPr>
        <w:tc>
          <w:tcPr>
            <w:tcW w:type="dxa" w:w="2948"/>
            <w:vAlign w:val="center"/>
            <w:tcMar>
              <w:top w:w="80" w:type="dxa"/>
              <w:left w:w="80" w:type="dxa"/>
              <w:bottom w:w="80" w:type="dxa"/>
              <w:right w:w="80" w:type="dxa"/>
            </w:tcMar>
          </w:tcPr>
          <w:p>
            <w:pPr>
              <w:spacing w:after="60" w:before="60" w:line="252" w:lineRule="auto"/>
              <w:ind w:firstLine="0"/>
              <w:jc w:val="left"/>
            </w:pPr>
            <w:r>
              <w:rPr>
                <w:b w:val="0"/>
                <w:sz w:val="20"/>
              </w:rPr>
              <w:t>候选集合与门控 factorial</w:t>
            </w:r>
          </w:p>
        </w:tc>
        <w:tc>
          <w:tcPr>
            <w:tcW w:type="dxa" w:w="2381"/>
            <w:vAlign w:val="center"/>
            <w:tcMar>
              <w:top w:w="80" w:type="dxa"/>
              <w:left w:w="80" w:type="dxa"/>
              <w:bottom w:w="80" w:type="dxa"/>
              <w:right w:w="80" w:type="dxa"/>
            </w:tcMar>
          </w:tcPr>
          <w:p>
            <w:pPr>
              <w:spacing w:after="60" w:before="60" w:line="252" w:lineRule="auto"/>
              <w:ind w:firstLine="0"/>
              <w:jc w:val="center"/>
            </w:pPr>
            <w:r>
              <w:rPr>
                <w:b w:val="0"/>
                <w:sz w:val="20"/>
              </w:rPr>
              <w:t>相同 640 个初态</w:t>
              <w:br/>
              <w:t>3,200 次执行</w:t>
            </w:r>
          </w:p>
        </w:tc>
        <w:tc>
          <w:tcPr>
            <w:tcW w:type="dxa" w:w="3969"/>
            <w:vAlign w:val="center"/>
            <w:tcMar>
              <w:top w:w="80" w:type="dxa"/>
              <w:left w:w="80" w:type="dxa"/>
              <w:bottom w:w="80" w:type="dxa"/>
              <w:right w:w="80" w:type="dxa"/>
            </w:tcMar>
          </w:tcPr>
          <w:p>
            <w:pPr>
              <w:spacing w:after="60" w:before="60" w:line="252" w:lineRule="auto"/>
              <w:ind w:firstLine="0"/>
              <w:jc w:val="center"/>
            </w:pPr>
            <w:r>
              <w:rPr>
                <w:b w:val="0"/>
                <w:sz w:val="20"/>
              </w:rPr>
              <w:t>分离动作投影与扰动门控作用</w:t>
            </w:r>
          </w:p>
        </w:tc>
      </w:tr>
      <w:tr>
        <w:trPr>
          <w:cantSplit/>
        </w:trPr>
        <w:tc>
          <w:tcPr>
            <w:tcW w:type="dxa" w:w="2948"/>
            <w:vAlign w:val="center"/>
            <w:tcMar>
              <w:top w:w="80" w:type="dxa"/>
              <w:left w:w="80" w:type="dxa"/>
              <w:bottom w:w="80" w:type="dxa"/>
              <w:right w:w="80" w:type="dxa"/>
            </w:tcMar>
          </w:tcPr>
          <w:p>
            <w:pPr>
              <w:spacing w:after="60" w:before="60" w:line="252" w:lineRule="auto"/>
              <w:ind w:firstLine="0"/>
              <w:jc w:val="left"/>
            </w:pPr>
            <w:r>
              <w:rPr>
                <w:b w:val="0"/>
                <w:sz w:val="20"/>
              </w:rPr>
              <w:t>原 CSPI 作者检验补充</w:t>
            </w:r>
          </w:p>
        </w:tc>
        <w:tc>
          <w:tcPr>
            <w:tcW w:type="dxa" w:w="2381"/>
            <w:vAlign w:val="center"/>
            <w:tcMar>
              <w:top w:w="80" w:type="dxa"/>
              <w:left w:w="80" w:type="dxa"/>
              <w:bottom w:w="80" w:type="dxa"/>
              <w:right w:w="80" w:type="dxa"/>
            </w:tcMar>
          </w:tcPr>
          <w:p>
            <w:pPr>
              <w:spacing w:after="60" w:before="60" w:line="252" w:lineRule="auto"/>
              <w:ind w:firstLine="0"/>
              <w:jc w:val="center"/>
            </w:pPr>
            <w:r>
              <w:rPr>
                <w:b w:val="0"/>
                <w:sz w:val="20"/>
              </w:rPr>
              <w:t>256/128/128/128</w:t>
              <w:br/>
              <w:t>拟合／调节／安全／评估</w:t>
            </w:r>
          </w:p>
        </w:tc>
        <w:tc>
          <w:tcPr>
            <w:tcW w:type="dxa" w:w="3969"/>
            <w:vAlign w:val="center"/>
            <w:tcMar>
              <w:top w:w="80" w:type="dxa"/>
              <w:left w:w="80" w:type="dxa"/>
              <w:bottom w:w="80" w:type="dxa"/>
              <w:right w:w="80" w:type="dxa"/>
            </w:tcMar>
          </w:tcPr>
          <w:p>
            <w:pPr>
              <w:spacing w:after="60" w:before="60" w:line="252" w:lineRule="auto"/>
              <w:ind w:firstLine="0"/>
              <w:jc w:val="center"/>
            </w:pPr>
            <w:r>
              <w:rPr>
                <w:b w:val="0"/>
                <w:sz w:val="20"/>
              </w:rPr>
              <w:t>保留原单臂标签和独立评估的信息边界</w:t>
            </w:r>
          </w:p>
        </w:tc>
      </w:tr>
    </w:tbl>
    <w:p>
      <w:pPr>
        <w:spacing w:after="100"/>
        <w:ind w:firstLine="420"/>
      </w:pPr>
    </w:p>
    <w:p>
      <w:pPr>
        <w:spacing w:after="100"/>
        <w:ind w:firstLine="420"/>
      </w:pPr>
      <w:r>
        <w:t>三组正式结果均待完整执行与审计。当前全网格中的 MPS／MAMPS 为共享物理判据适配器，不能充当原方法完整复现；已有 DMPS 固定预算任务适配没有学会完成普通测试，不能据此判定方法族无效。CSPI 与在线门控的信息、训练数据和计算方式不同，补充比较不宣称等数据或等计算。</w:t>
      </w:r>
    </w:p>
    <w:p>
      <w:pPr>
        <w:spacing w:after="100"/>
        <w:ind w:firstLine="420"/>
      </w:pPr>
      <w:r>
        <w:t>工程方面，全网格集合门控的决策 P95 为 750.792 ms，44,039 次调用中 3,234 次超过 500 ms，不能宣称满足 500 ms 硬实时要求。另已完成的时间戳补偿开发探针复用三个初态、共 117 次真实 SUMO：严重失配条件下三种预处理均为 0/13 完成。停止仿真不等于实际安全停车，更准的状态中点也未修复任务。</w:t>
      </w:r>
    </w:p>
    <w:p>
      <w:pPr>
        <w:spacing w:after="100"/>
        <w:ind w:firstLine="420"/>
      </w:pPr>
      <w:r>
        <w:t>扩展 OOD 计划为 22,464 次执行、192 个独立初态，完整结果仍待审计。证明适用范围必须保留碰撞、几何违规、中止和超时；不能删除失败后仅比较完成子集。当前支持的结论是：有限路径性能门控在已完成开发网格中呈现有价值的收益与退化取舍，同时仍受路径覆盖、执行器记忆、离散时间指标和计算代价限制。</w:t>
      </w:r>
    </w:p>
    <w:p>
      <w:pPr>
        <w:pStyle w:val="Heading2"/>
        <w:ind w:firstLine="0"/>
      </w:pPr>
      <w:r>
        <w:t>参考文献与复核来源</w:t>
      </w:r>
    </w:p>
    <w:p>
      <w:pPr>
        <w:spacing w:after="60"/>
        <w:ind w:firstLine="0"/>
      </w:pPr>
      <w:r>
        <w:rPr>
          <w:sz w:val="18"/>
        </w:rPr>
        <w:t>[1] Zhang W, Bastani O, Kumar V. MAMPS: Safe Multi-Agent Reinforcement Learning via Model Predictive Shielding. 2019. arXiv:1910.12639.</w:t>
      </w:r>
    </w:p>
    <w:p>
      <w:pPr>
        <w:spacing w:after="60"/>
        <w:ind w:firstLine="0"/>
      </w:pPr>
      <w:r>
        <w:rPr>
          <w:sz w:val="18"/>
        </w:rPr>
        <w:t>[2] Banerjee A, Rahmani K, Biswas J, Dillig I. Dynamic Model Predictive Shielding for Provably Safe Reinforcement Learning. 2024. arXiv:2405.13863.</w:t>
      </w:r>
    </w:p>
    <w:p>
      <w:pPr>
        <w:spacing w:after="60"/>
        <w:ind w:firstLine="0"/>
      </w:pPr>
      <w:r>
        <w:rPr>
          <w:sz w:val="18"/>
        </w:rPr>
        <w:t>[3] Cho B M, et al. CSPI-MT: Calibrated Safe Policy Improvement with Multiple Testing for Threshold Policies. 2024. arXiv:2408.12004.</w:t>
      </w:r>
    </w:p>
    <w:p>
      <w:pPr>
        <w:spacing w:after="60"/>
        <w:ind w:firstLine="0"/>
      </w:pPr>
      <w:r>
        <w:rPr>
          <w:sz w:val="18"/>
        </w:rPr>
        <w:t>[4] Angelopoulos A N, et al. Learn then Test: Calibrating Predictive Algorithms to Achieve Risk Control. 2022. arXiv:2110.01052.</w:t>
      </w:r>
    </w:p>
    <w:p>
      <w:pPr>
        <w:spacing w:after="60"/>
        <w:ind w:firstLine="0"/>
      </w:pPr>
      <w:r>
        <w:rPr>
          <w:sz w:val="18"/>
        </w:rPr>
        <w:t>[5] 完整原始记录、冻结协议与重放入口：github.com/Leo-7GOAT/CoopGate。</w:t>
      </w:r>
    </w:p>
    <w:sectPr w:rsidR="00FC693F" w:rsidRPr="0006063C" w:rsidSect="00034616">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CoopGate 已完成实验与条件性能保证</dc:title>
  <dc:subject>论文实验及理论补充</dc:subject>
  <dc:creator>李东旭</dc:creator>
  <cp:keywords/>
  <dc:description>generated by python-docx</dc:description>
  <cp:lastModifiedBy/>
  <cp:revision>1</cp:revision>
  <dcterms:created xsi:type="dcterms:W3CDTF">2013-12-23T23:15:00Z</dcterms:created>
  <dcterms:modified xsi:type="dcterms:W3CDTF">2013-12-23T23:15:00Z</dcterms:modified>
  <cp:category/>
  <cp:version>20261026</cp:version>
</cp:coreProperties>
</file>