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8F15F1">
      <w:pPr>
        <w:pStyle w:val="2"/>
      </w:pPr>
      <w:r>
        <w:t>现代工程意识与无碳小车设计：理论、实践与创新融合</w:t>
      </w:r>
    </w:p>
    <w:p w14:paraId="3FEA7F40">
      <w:pPr>
        <w:pStyle w:val="3"/>
      </w:pPr>
      <w:bookmarkStart w:id="0" w:name="灵犀_ln30niq1n2xhbej6"/>
      <w:r>
        <w:t>现代工程意识素养解析</w:t>
      </w:r>
    </w:p>
    <w:p w14:paraId="1D4B5926">
      <w:pPr>
        <w:pStyle w:val="4"/>
        <w:rPr>
          <w:strike/>
          <w:dstrike w:val="0"/>
        </w:rPr>
      </w:pPr>
      <w:r>
        <w:rPr>
          <w:strike/>
          <w:dstrike w:val="0"/>
        </w:rPr>
        <w:t>现代工程意识的概念阐释</w:t>
      </w:r>
    </w:p>
    <w:p w14:paraId="4FDE0E70">
      <w:pPr>
        <w:rPr>
          <w:strike/>
          <w:dstrike w:val="0"/>
        </w:rPr>
      </w:pPr>
      <w:r>
        <w:rPr>
          <w:strike/>
          <w:dstrike w:val="0"/>
        </w:rPr>
        <w:t>现代工程意识是一种从系统全局观出发的综合性思维方式。它不仅仅聚焦于工程技术本身，更涵盖了科学技术、功能审美、生态环境等多个层面的问题。在科学技术方面，要求工程人员紧跟时代步伐，掌握先进的技术知识，并能将其合理运用到工程实践中，推动工程技术的创新与发展。功能审美层面，则强调工程成果不仅要具备实用功能，还应在外观、布局等方面满足人们的审美需求，实现功能与美观的有机统一。</w:t>
      </w:r>
    </w:p>
    <w:p w14:paraId="37346BE8">
      <w:pPr>
        <w:rPr>
          <w:strike/>
          <w:dstrike w:val="0"/>
        </w:rPr>
      </w:pPr>
      <w:r>
        <w:rPr>
          <w:strike/>
          <w:dstrike w:val="0"/>
        </w:rPr>
        <w:t>生态环境问题也是现代工程意识关注的重点。随着全球环境问题的日益严峻，工程建设必须充分考虑对生态环境的影响，尽可能减少资源消耗和环境污染。综合这些要素，现代工程意识倡导树立可持续发展观，即在满足当代人需求的同时，不损害后代人满足其自身需求的能力，确保工程活动在经济、社会和环境之间实现平衡与协调发展。</w:t>
      </w:r>
    </w:p>
    <w:p w14:paraId="2589EC43">
      <w:pPr>
        <w:pStyle w:val="4"/>
        <w:rPr>
          <w:strike/>
          <w:dstrike w:val="0"/>
        </w:rPr>
      </w:pPr>
      <w:r>
        <w:rPr>
          <w:strike/>
          <w:dstrike w:val="0"/>
        </w:rPr>
        <w:t>现代工程人员应具备的意识</w:t>
      </w:r>
    </w:p>
    <w:p w14:paraId="72ADB79A">
      <w:pPr>
        <w:numPr>
          <w:ilvl w:val="0"/>
          <w:numId w:val="3"/>
        </w:numPr>
        <w:spacing w:before="0" w:beforeAutospacing="1" w:after="0" w:afterAutospacing="1"/>
        <w:ind w:left="720" w:hanging="360"/>
        <w:rPr>
          <w:strike/>
          <w:dstrike w:val="0"/>
        </w:rPr>
      </w:pPr>
      <w:r>
        <w:rPr>
          <w:b/>
          <w:strike/>
          <w:dstrike w:val="0"/>
        </w:rPr>
        <w:t>质量意识</w:t>
      </w:r>
      <w:r>
        <w:rPr>
          <w:strike/>
          <w:dstrike w:val="0"/>
        </w:rPr>
        <w:t>：质量是工程的生命。在建筑工程中，若混凝土浇筑质量不达标，可能导致建筑物结构不稳定，埋下安全隐患。只有严格把控质量，才能打造出经得起时间考验的优质工程。</w:t>
      </w:r>
    </w:p>
    <w:p w14:paraId="5423D2AB">
      <w:pPr>
        <w:numPr>
          <w:ilvl w:val="0"/>
          <w:numId w:val="3"/>
        </w:numPr>
        <w:spacing w:before="0" w:beforeAutospacing="1" w:after="0" w:afterAutospacing="1"/>
        <w:ind w:left="720" w:hanging="360"/>
        <w:rPr>
          <w:strike/>
          <w:dstrike w:val="0"/>
        </w:rPr>
      </w:pPr>
      <w:r>
        <w:rPr>
          <w:b/>
          <w:strike/>
          <w:dstrike w:val="0"/>
        </w:rPr>
        <w:t>安全意识</w:t>
      </w:r>
      <w:r>
        <w:rPr>
          <w:strike/>
          <w:dstrike w:val="0"/>
        </w:rPr>
        <w:t>：工程建设涉及众多危险环节，如高空作业、电气操作等。缺乏安全意识，极易引发安全事故。例如，未正确佩戴安全帽进入施工现场，一旦发生物体坠落，将对人员生命安全造成严重威胁。所以，工程人员必须时刻保持安全警觉，遵守安全规范。</w:t>
      </w:r>
    </w:p>
    <w:p w14:paraId="3441948E">
      <w:pPr>
        <w:numPr>
          <w:ilvl w:val="0"/>
          <w:numId w:val="3"/>
        </w:numPr>
        <w:spacing w:before="0" w:beforeAutospacing="1" w:after="0" w:afterAutospacing="1"/>
        <w:ind w:left="720" w:hanging="360"/>
        <w:rPr>
          <w:strike/>
          <w:dstrike w:val="0"/>
        </w:rPr>
      </w:pPr>
      <w:r>
        <w:rPr>
          <w:b/>
          <w:strike/>
          <w:dstrike w:val="0"/>
        </w:rPr>
        <w:t>效益意识</w:t>
      </w:r>
      <w:r>
        <w:rPr>
          <w:strike/>
          <w:dstrike w:val="0"/>
        </w:rPr>
        <w:t>：工程建设需投入大量资源，包括人力、物力和财力。具备效益意识，能合理规划资源，降低成本，提高产出。以桥梁建设为例，通过优化设计方案，减少不必要的材料浪费，可在保证工程质量的前提下，提高经济效益。</w:t>
      </w:r>
    </w:p>
    <w:p w14:paraId="2341F47E">
      <w:pPr>
        <w:numPr>
          <w:ilvl w:val="0"/>
          <w:numId w:val="3"/>
        </w:numPr>
        <w:spacing w:before="0" w:beforeAutospacing="1" w:after="0" w:afterAutospacing="1"/>
        <w:ind w:left="720" w:hanging="360"/>
        <w:rPr>
          <w:strike/>
          <w:dstrike w:val="0"/>
        </w:rPr>
      </w:pPr>
      <w:r>
        <w:rPr>
          <w:b/>
          <w:strike/>
          <w:dstrike w:val="0"/>
        </w:rPr>
        <w:t>创新意识</w:t>
      </w:r>
      <w:r>
        <w:rPr>
          <w:strike/>
          <w:dstrike w:val="0"/>
        </w:rPr>
        <w:t>：在科技飞速发展的今天，创新是工程进步的动力源泉。创新意识促使工程人员不断探索新技术、新方法，提升工程的竞争力。比如，在新能源工程领域，创新的储能技术能有效解决能源存储难题，推动行业发展。</w:t>
      </w:r>
    </w:p>
    <w:p w14:paraId="6BCA87B1">
      <w:pPr>
        <w:numPr>
          <w:ilvl w:val="0"/>
          <w:numId w:val="3"/>
        </w:numPr>
        <w:spacing w:before="0" w:beforeAutospacing="1" w:after="0" w:afterAutospacing="1"/>
        <w:ind w:left="720" w:hanging="360"/>
        <w:rPr>
          <w:strike/>
          <w:dstrike w:val="0"/>
        </w:rPr>
      </w:pPr>
      <w:r>
        <w:rPr>
          <w:b/>
          <w:strike/>
          <w:dstrike w:val="0"/>
        </w:rPr>
        <w:t>环保意识</w:t>
      </w:r>
      <w:r>
        <w:rPr>
          <w:strike/>
          <w:dstrike w:val="0"/>
        </w:rPr>
        <w:t>：工程活动对环境影响巨大。环保意识要求工程人员在项目实施过程中，采取有效措施减少污染排放，保护生态平衡。如在水利工程中，注重对周边水生生物栖息地的保护，避免生态破坏。</w:t>
      </w:r>
    </w:p>
    <w:p w14:paraId="1F887B3D">
      <w:pPr>
        <w:pStyle w:val="4"/>
        <w:rPr>
          <w:strike/>
          <w:dstrike w:val="0"/>
        </w:rPr>
      </w:pPr>
      <w:r>
        <w:rPr>
          <w:strike/>
          <w:dstrike w:val="0"/>
        </w:rPr>
        <w:t>质量意识案例分析</w:t>
      </w:r>
    </w:p>
    <w:p w14:paraId="20781ABB">
      <w:pPr>
        <w:rPr>
          <w:strike/>
          <w:dstrike w:val="0"/>
        </w:rPr>
      </w:pPr>
      <w:r>
        <w:rPr>
          <w:strike/>
          <w:dstrike w:val="0"/>
        </w:rPr>
        <w:t>凤凰县沱江大桥垮塌事故是一起令人痛心的典型案例。2007年8月13日下午4时40分左右，正在建设中的凤凰县沱江大桥突然垮塌。这座大桥是当地的重点工程，事故发生时，桥上有施工人员正在作业，垮塌瞬间造成64人遇难、22人受伤。</w:t>
      </w:r>
    </w:p>
    <w:p w14:paraId="1FC7E48E">
      <w:pPr>
        <w:rPr>
          <w:strike/>
          <w:dstrike w:val="0"/>
        </w:rPr>
      </w:pPr>
      <w:r>
        <w:rPr>
          <w:strike/>
          <w:dstrike w:val="0"/>
        </w:rPr>
        <w:t>经调查，事故原因主要包括多方面。从设计角度看，部分构造设计存在缺陷，未能充分考虑实际受力情况。施</w:t>
      </w:r>
      <w:bookmarkStart w:id="6" w:name="_GoBack"/>
      <w:bookmarkEnd w:id="6"/>
      <w:r>
        <w:rPr>
          <w:strike/>
          <w:dstrike w:val="0"/>
        </w:rPr>
        <w:t>工过程中，更是存在严重的质量问题，如混凝土强度不足、钢筋数量和规格不符合设计要求等。此外，施工管理混乱，质量监管形同虚设，对施工中的违规行为未能及时纠正。</w:t>
      </w:r>
    </w:p>
    <w:p w14:paraId="2A2E12B6">
      <w:pPr>
        <w:rPr>
          <w:strike/>
          <w:dstrike w:val="0"/>
        </w:rPr>
      </w:pPr>
      <w:r>
        <w:rPr>
          <w:strike/>
          <w:dstrike w:val="0"/>
        </w:rPr>
        <w:t>调查结果表明，这起事故的根源在于相关人员严重缺乏质量意识。质量意识的缺失，使得工程从设计到施工各个环节都漏洞百出，最终导致了这场惨重的悲剧。这不仅给遇难者家庭带来了巨大的伤痛，也给国家和社会造成了严重的损失。此案例警示我们，质量意识是工程建设的底线，任何时候都不能忽视。</w:t>
      </w:r>
    </w:p>
    <w:bookmarkEnd w:id="0"/>
    <w:p w14:paraId="15AEDA88">
      <w:pPr>
        <w:pStyle w:val="3"/>
      </w:pPr>
      <w:bookmarkStart w:id="1" w:name="灵犀_liepdi31uyxc2h4j"/>
      <w:r>
        <w:t>无碳小车设计要求与原理</w:t>
      </w:r>
    </w:p>
    <w:p w14:paraId="5DDAF08D">
      <w:pPr>
        <w:pStyle w:val="4"/>
      </w:pPr>
      <w:r>
        <w:t>设计要求详述</w:t>
      </w:r>
    </w:p>
    <w:tbl>
      <w:tblPr>
        <w:tblStyle w:val="18"/>
        <w:tblW w:w="0" w:type="auto"/>
        <w:tblInd w:w="0" w:type="dxa"/>
        <w:tblLayout w:type="fixed"/>
        <w:tblCellMar>
          <w:top w:w="0" w:type="dxa"/>
          <w:left w:w="0" w:type="dxa"/>
          <w:bottom w:w="0" w:type="dxa"/>
          <w:right w:w="0" w:type="dxa"/>
        </w:tblCellMar>
      </w:tblPr>
      <w:tblGrid>
        <w:gridCol w:w="4320"/>
        <w:gridCol w:w="4320"/>
      </w:tblGrid>
      <w:tr w14:paraId="16D4B025">
        <w:tblPrEx>
          <w:tblCellMar>
            <w:top w:w="0" w:type="dxa"/>
            <w:left w:w="0" w:type="dxa"/>
            <w:bottom w:w="0" w:type="dxa"/>
            <w:right w:w="0" w:type="dxa"/>
          </w:tblCellMar>
        </w:tblPrEx>
        <w:tc>
          <w:tcPr>
            <w:tcW w:w="0" w:type="auto"/>
            <w:vAlign w:val="center"/>
          </w:tcPr>
          <w:p w14:paraId="13C1609D">
            <w:pPr>
              <w:jc w:val="center"/>
              <w:rPr>
                <w:b/>
              </w:rPr>
            </w:pPr>
            <w:r>
              <w:rPr>
                <w:b/>
              </w:rPr>
              <w:t>项目</w:t>
            </w:r>
          </w:p>
        </w:tc>
        <w:tc>
          <w:tcPr>
            <w:tcW w:w="0" w:type="auto"/>
            <w:vAlign w:val="center"/>
          </w:tcPr>
          <w:p w14:paraId="29402A41">
            <w:pPr>
              <w:jc w:val="center"/>
              <w:rPr>
                <w:b/>
              </w:rPr>
            </w:pPr>
            <w:r>
              <w:rPr>
                <w:b/>
              </w:rPr>
              <w:t>具体要求</w:t>
            </w:r>
          </w:p>
        </w:tc>
      </w:tr>
      <w:tr w14:paraId="21BAF081">
        <w:tblPrEx>
          <w:tblCellMar>
            <w:top w:w="0" w:type="dxa"/>
            <w:left w:w="0" w:type="dxa"/>
            <w:bottom w:w="0" w:type="dxa"/>
            <w:right w:w="0" w:type="dxa"/>
          </w:tblCellMar>
        </w:tblPrEx>
        <w:tc>
          <w:tcPr>
            <w:tcW w:w="0" w:type="auto"/>
            <w:vAlign w:val="center"/>
          </w:tcPr>
          <w:p w14:paraId="29C70FA1">
            <w:r>
              <w:t>重力势能</w:t>
            </w:r>
          </w:p>
        </w:tc>
        <w:tc>
          <w:tcPr>
            <w:tcW w:w="0" w:type="auto"/>
            <w:vAlign w:val="center"/>
          </w:tcPr>
          <w:p w14:paraId="5E0D1851">
            <w:r>
              <w:t>给定重力势能为 5 焦耳（取 g = 10m/s²），竞赛时统一用质量为 1Kg（50×65mm，普通碳钢）铅垂下降来获得，落差 500±2mm，重块落下后，须被小车承载并同小车一起运动，不允许掉落</w:t>
            </w:r>
          </w:p>
        </w:tc>
      </w:tr>
      <w:tr w14:paraId="2737E97E">
        <w:tblPrEx>
          <w:tblCellMar>
            <w:top w:w="0" w:type="dxa"/>
            <w:left w:w="0" w:type="dxa"/>
            <w:bottom w:w="0" w:type="dxa"/>
            <w:right w:w="0" w:type="dxa"/>
          </w:tblCellMar>
        </w:tblPrEx>
        <w:tc>
          <w:tcPr>
            <w:tcW w:w="0" w:type="auto"/>
            <w:vAlign w:val="center"/>
          </w:tcPr>
          <w:p w14:paraId="6A5B360E">
            <w:r>
              <w:t>小车结构</w:t>
            </w:r>
          </w:p>
        </w:tc>
        <w:tc>
          <w:tcPr>
            <w:tcW w:w="0" w:type="auto"/>
            <w:vAlign w:val="center"/>
          </w:tcPr>
          <w:p w14:paraId="089044ED">
            <w:r>
              <w:t>采用三轮结构（1 个转向轮，2 个驱动轮）</w:t>
            </w:r>
          </w:p>
        </w:tc>
      </w:tr>
      <w:tr w14:paraId="63553717">
        <w:tblPrEx>
          <w:tblCellMar>
            <w:top w:w="0" w:type="dxa"/>
            <w:left w:w="0" w:type="dxa"/>
            <w:bottom w:w="0" w:type="dxa"/>
            <w:right w:w="0" w:type="dxa"/>
          </w:tblCellMar>
        </w:tblPrEx>
        <w:tc>
          <w:tcPr>
            <w:tcW w:w="0" w:type="auto"/>
            <w:vAlign w:val="center"/>
          </w:tcPr>
          <w:p w14:paraId="36CD4A8F">
            <w:r>
              <w:t>尺寸规格</w:t>
            </w:r>
          </w:p>
        </w:tc>
        <w:tc>
          <w:tcPr>
            <w:tcW w:w="0" w:type="auto"/>
            <w:vAlign w:val="center"/>
          </w:tcPr>
          <w:p w14:paraId="6E75C17A">
            <w:r>
              <w:t>小车上面要装载一件外形尺寸 60×20mm 的实心圆柱型钢制质量块作为载荷，其质量应不小于 750g；转向轮最大外径应不小于 30mm</w:t>
            </w:r>
          </w:p>
        </w:tc>
      </w:tr>
      <w:tr w14:paraId="43C20942">
        <w:tblPrEx>
          <w:tblCellMar>
            <w:top w:w="0" w:type="dxa"/>
            <w:left w:w="0" w:type="dxa"/>
            <w:bottom w:w="0" w:type="dxa"/>
            <w:right w:w="0" w:type="dxa"/>
          </w:tblCellMar>
        </w:tblPrEx>
        <w:tc>
          <w:tcPr>
            <w:tcW w:w="0" w:type="auto"/>
            <w:vAlign w:val="center"/>
          </w:tcPr>
          <w:p w14:paraId="4F9A9192">
            <w:r>
              <w:t>材料选用</w:t>
            </w:r>
          </w:p>
        </w:tc>
        <w:tc>
          <w:tcPr>
            <w:tcW w:w="0" w:type="auto"/>
            <w:vAlign w:val="center"/>
          </w:tcPr>
          <w:p w14:paraId="6F7DDB67">
            <w:r>
              <w:t>具体结构造型以及材料选用均由参赛者自主设计完成</w:t>
            </w:r>
          </w:p>
        </w:tc>
      </w:tr>
      <w:tr w14:paraId="60522BB5">
        <w:tblPrEx>
          <w:tblCellMar>
            <w:top w:w="0" w:type="dxa"/>
            <w:left w:w="0" w:type="dxa"/>
            <w:bottom w:w="0" w:type="dxa"/>
            <w:right w:w="0" w:type="dxa"/>
          </w:tblCellMar>
        </w:tblPrEx>
        <w:tc>
          <w:tcPr>
            <w:tcW w:w="0" w:type="auto"/>
            <w:vAlign w:val="center"/>
          </w:tcPr>
          <w:p w14:paraId="5175E032">
            <w:r>
              <w:t>评定标准</w:t>
            </w:r>
          </w:p>
        </w:tc>
        <w:tc>
          <w:tcPr>
            <w:tcW w:w="0" w:type="auto"/>
            <w:vAlign w:val="center"/>
          </w:tcPr>
          <w:p w14:paraId="18E148FA">
            <w:r>
              <w:t>以小车前行距离的远近、以及避开障碍的多少来综合评定成绩。要求小车前行过程中完成的所有动作所需的能量均由此给定的重力势能转换获得，不可使用任何其他的能量形式</w:t>
            </w:r>
          </w:p>
        </w:tc>
      </w:tr>
    </w:tbl>
    <w:p w14:paraId="3A785C91">
      <w:pPr>
        <w:pStyle w:val="4"/>
      </w:pPr>
      <w:r>
        <w:t>工作原理剖析</w:t>
      </w:r>
    </w:p>
    <w:p w14:paraId="6A7E4C5A">
      <w:r>
        <w:t>无碳小车的工作原理基于物理学中的能量转换定律。给定的重力势能通过特定的机构转化为小车的机械能，从而实现行走和转向功能。</w:t>
      </w:r>
    </w:p>
    <w:p w14:paraId="74072151">
      <w:r>
        <w:t>当重块铅垂下降时，其重力势能逐渐转化为动能。原动机构将重块的动能传递给传动机构，传动机构再把动力和运动传递到转向轮和驱动轮。在行走过程中，驱动轮与地面产生摩擦力，推动小车前进。</w:t>
      </w:r>
    </w:p>
    <w:p w14:paraId="63259D77">
      <w:r>
        <w:t>对于转向功能，通过特定的转向机构，将旋转运动转化为满足要求的来回摆动，带动转向轮左右转动，从而实现小车自动避开赛道上的障碍物。例如，当小车接近障碍物时，转向机构根据预设的运动规律，使转向轮产生相应的转向动作，引导小车绕过障碍物，继续前行。整个过程中，能量在不同形式和部件之间传递和转换，实现了无碳小车的自主运行。</w:t>
      </w:r>
    </w:p>
    <w:p w14:paraId="50AAE042">
      <w:pPr>
        <w:pStyle w:val="4"/>
      </w:pPr>
      <w:r>
        <w:t>设计思路探讨</w:t>
      </w:r>
    </w:p>
    <w:p w14:paraId="2890F008">
      <w:r>
        <w:t>确定无碳小车的设计思路，需要对小车各部分功能进行深入分析，并对不同机构方案进行比较与选择。</w:t>
      </w:r>
    </w:p>
    <w:p w14:paraId="5FE30FBE">
      <w:r>
        <w:t>首先分析小车的功能，它需要完成重力势能的转换、驱动自身行走以及自动避开障碍物。基于此，将小车划分为车架、原动、传动、转向、行走、微调等部分进行模块化设计。</w:t>
      </w:r>
    </w:p>
    <w:p w14:paraId="48BA88C4">
      <w:r>
        <w:t>对于原动机构，考虑多种能实现重力势能转化为驱动力的方案，如绳轮、齿轮等。经过比较，绳轮式原动机构因具有驱动力适中、可调整驱动力、结构简单效率高等优势而被选用。</w:t>
      </w:r>
    </w:p>
    <w:p w14:paraId="7F0A9C95">
      <w:r>
        <w:t>传动机构方面，分析了直接驱动、带轮传动、齿轮传动等方式。直接驱动效率最高、结构最简单，但可能无法满足一些复杂的运动要求；带轮传动结构简单、传动平稳，但效率与传动精度不高；齿轮传动效率高、结构紧凑，但价格较高。综合考虑，在本小车设计中优先考虑直接驱动，若不能满足要求则选用齿轮传动。</w:t>
      </w:r>
    </w:p>
    <w:p w14:paraId="5251657E">
      <w:r>
        <w:t>转向机构是设计的关键部分，能实现转向功能的机构有凸轮 + 摇杆、曲柄连杆 + 摇杆、曲柄摇杆、差速转弯等。通过对各机构优缺点的分析，如凸轮轮廓加工困难、尺寸难以调整，差速转弯对轮子加工精度要求高且无法调整尺寸等，最终选择曲柄连杆 + 摇杆作为转向方案，因其在满足转向功能的同时，相对易于设计和制造，且能通过增加微调解决安装误差敏感性问题。</w:t>
      </w:r>
    </w:p>
    <w:p w14:paraId="35D3CC46">
      <w:r>
        <w:t>通过对各部分功能的分析和机构方案的比较选择，形成了无碳小车完整的设计思路，以满足竞赛的各项要求。</w:t>
      </w:r>
    </w:p>
    <w:bookmarkEnd w:id="1"/>
    <w:p w14:paraId="55761DFA">
      <w:pPr>
        <w:pStyle w:val="3"/>
      </w:pPr>
      <w:bookmarkStart w:id="2" w:name="灵犀_231r8e8y6mix9t5e"/>
      <w:r>
        <w:t>无碳小车设计中的技术准备</w:t>
      </w:r>
    </w:p>
    <w:p w14:paraId="0C4BA145">
      <w:pPr>
        <w:pStyle w:val="4"/>
      </w:pPr>
      <w:r>
        <w:t>转弯弧长计算</w:t>
      </w:r>
    </w:p>
    <w:p w14:paraId="75EB8E56">
      <w:r>
        <w:t>在无碳小车的设计中，转弯弧长的近似计算至关重要。其计算方法基于简单的几何原理。我们将小车的转弯路径近似看作一段圆弧。计算公式为：$L = \theta \times r$，其中$L$表示转弯弧长，$\theta$为转弯对应的圆心角（单位为弧度），$r$是转弯半径。</w:t>
      </w:r>
    </w:p>
    <w:p w14:paraId="4E3A026D">
      <w:r>
        <w:t>该公式的依据在于，当把转弯路径视为圆弧时，弧长与圆心角和半径存在这样的线性关系。在实际应用中，我们需要根据小车的转向机构设计以及赛道障碍物的布局来确定圆心角和转弯半径。例如，通过测量和分析转向轮的最大转向角度来确定圆心角，根据小车的轴距等参数确定转弯半径。准确计算转弯弧长，有助于我们合理设计小车的转向机构和行走路径，以更好地避开障碍物，提高小车的性能。</w:t>
      </w:r>
    </w:p>
    <w:p w14:paraId="1F9BEB7D">
      <w:pPr>
        <w:pStyle w:val="4"/>
      </w:pPr>
      <w:r>
        <w:t>速比分配策略</w:t>
      </w:r>
    </w:p>
    <w:p w14:paraId="6C84636C">
      <w:r>
        <w:t>速比的合理分配对于无碳小车的运行至关重要。它直接影响小车的驱动力、行驶速度和行驶距离等性能指标。如果速比分配不合理，可能导致小车动力不足无法顺利前行，或者速度过快难以控制，无法准确避开障碍物。</w:t>
      </w:r>
    </w:p>
    <w:p w14:paraId="6C97AB94">
      <w:r>
        <w:t>要根据小车的运行要求来计算和确定速比。首先，明确小车在不同阶段所需的驱动力和速度。例如，在启动阶段，需要较大的驱动力，此时速比应适当增大；在行驶过程中，为了达到较远的行驶距离，需要合理调整速比以平衡驱动力和速度。通过分析原动机构、传动机构和车轮之间的运动关系，结合能量守恒定律和力学原理，计算出满足小车运行要求的速比。同时，还需考虑实际情况中的各种因素，如摩擦力、机械损耗等，对速比进行微调，以确保小车能够稳定、高效地运行。</w:t>
      </w:r>
    </w:p>
    <w:p w14:paraId="3EAB1B21">
      <w:pPr>
        <w:pStyle w:val="4"/>
      </w:pPr>
      <w:r>
        <w:t>结构分析要点</w:t>
      </w:r>
    </w:p>
    <w:p w14:paraId="0B21E6F3">
      <w:r>
        <w:t>小车的后轮部件是主要的驱动部件，它负责将传动机构传递过来的动力转化为小车前进的驱动力。设计要点在于保证后轮的强度和稳定性，以承受行驶过程中的各种力。同时，要考虑后轮的驱动方式，如双轮同步驱动、双轮差速驱动或单轮驱动，根据小车的整体设计选择合适的方式，确保驱动力的有效传递。</w:t>
      </w:r>
    </w:p>
    <w:p w14:paraId="6C415F20">
      <w:r>
        <w:t>前轮部件作为转向轮，其作用是引导小车的行驶方向。设计时要注重转向的灵活性和准确性，转向轮最大外径应不小于 30mm，以保证足够的转向空间。此外，要减小转向过程中的摩擦力，提高转向效率。</w:t>
      </w:r>
    </w:p>
    <w:p w14:paraId="641E39A3">
      <w:r>
        <w:t>转向部件则是实现小车自动避障的关键。它能够将旋转运动转化为来回摆动，带动转向轮左右转动。设计要点在于选择合适的转向机构，如曲柄连杆 + 摇杆，确保其运动的稳定性和可靠性。同时，要考虑转向部件与其他部件的协同工作，保证小车在行驶过程中能够准确地避开障碍物。</w:t>
      </w:r>
    </w:p>
    <w:bookmarkEnd w:id="2"/>
    <w:p w14:paraId="16A2EA38">
      <w:pPr>
        <w:pStyle w:val="3"/>
      </w:pPr>
      <w:bookmarkStart w:id="3" w:name="灵犀_vzr10ppi3mhghift"/>
      <w:r>
        <w:t>无碳小车各部分设计方案</w:t>
      </w:r>
    </w:p>
    <w:p w14:paraId="6009F92D">
      <w:pPr>
        <w:pStyle w:val="4"/>
      </w:pPr>
      <w:r>
        <w:t>车架设计考量</w:t>
      </w:r>
    </w:p>
    <w:p w14:paraId="1B163984">
      <w:r>
        <w:t>车架作为无碳小车的基础支撑结构，设计时需综合多方面因素。从受力情况看，它要承受小车运行过程中的各种力，包括重力、驱动力、转向力等，必须具备足够的强度和刚度，以保证结构稳定，防止变形或损坏。重量方面，较轻的车架有助于减少小车整体质量，提高能量利用效率，使小车运行更灵活。而加工成本也是不可忽视的因素，在满足性能要求的前提下，应尽量选择易于加工且成本较低的材料和工艺。</w:t>
      </w:r>
    </w:p>
    <w:p w14:paraId="5D26DF2C">
      <w:r>
        <w:t>综合这些因素，最终选择木材加工制作成三角底板式车架。木材具有重量轻、强度适中、加工方便等优点，能满足小车对重量和加工成本的要求。三角结构具有良好的稳定性，可有效分散受力，确保车架在承受各种力时保持稳固，为小车其他部件提供可靠的支撑基础。</w:t>
      </w:r>
    </w:p>
    <w:p w14:paraId="19260845">
      <w:pPr>
        <w:pStyle w:val="4"/>
      </w:pPr>
      <w:r>
        <w:t>原动机构选择</w:t>
      </w:r>
    </w:p>
    <w:p w14:paraId="64576106">
      <w:r>
        <w:t>实现重力势能转化为驱动力的方案有多种，常见的如绳轮、齿轮等。齿轮方案能实现精确的传动比和稳定的动力传输，但结构相对复杂，成本较高，且对安装精度要求严格。而绳轮式原动机构则具有独特优势。</w:t>
      </w:r>
    </w:p>
    <w:p w14:paraId="23CA6BE2">
      <w:r>
        <w:t>绳轮式原动机构结构简单，易于设计和制造，可有效降低成本。其驱动力适中，通过合理设计绳轮直径和缠绕方式，能方便地调整驱动力大小，以满足小车不同运行阶段的需求。在本设计中，通过调整绳子在绳轮上的缠绕圈数和张力，可使重块下降的重力势能平稳地转化为小车前进的驱动力，确保小车启动和运行的稳定性。同时，该机构效率较高，能减少能量在转换过程中的损失，提高小车的整体性能，因此成为实现重力势能转化为驱动力的理想选择。</w:t>
      </w:r>
    </w:p>
    <w:p w14:paraId="227A2669">
      <w:pPr>
        <w:pStyle w:val="4"/>
      </w:pPr>
      <w:r>
        <w:t>传动机构抉择</w:t>
      </w:r>
    </w:p>
    <w:p w14:paraId="0C6E9070">
      <w:r>
        <w:t>不同传动方式各具特点与适用性。直接驱动方式效率最高，结构最为简单，动力能直接从原动机构传递到驱动轮，减少了中间环节的能量损失。但它对原动机构和驱动轮的安装精度要求极高，且难以实现复杂的运动变化，若原动机构输出的运动形式与驱动轮所需不一致，直接驱动可能无法满足要求。</w:t>
      </w:r>
    </w:p>
    <w:p w14:paraId="06C592E2">
      <w:r>
        <w:t>带轮传动结构简单，传动过程较为平稳，能有效缓冲振动和冲击。然而，其传动效率相对较低，在传递动力过程中会有一定的能量损耗，且传动精度不高，带与带轮之间可能出现打滑现象，影响传动准确性。</w:t>
      </w:r>
    </w:p>
    <w:p w14:paraId="5D5F4183">
      <w:r>
        <w:t>齿轮传动则具有效率高、结构紧凑、传动比准确等优点，能实现较大的传动比和复杂的运动形式转换。但齿轮的制造和安装成本较高，对润滑和维护要求也较为严格。</w:t>
      </w:r>
    </w:p>
    <w:p w14:paraId="1974EBEB">
      <w:r>
        <w:t>在本小车设计中，优先考虑直接驱动，因其简单高效的特点能最大程度减少能量损失，符合小车对能量利用的要求。若直接驱动无法满足运动要求，如需要改变运动方向或实现变速运动时，则选用齿轮传动，其能在保证传动效率的同时，实现复杂的运动转换，确保小车的稳定运行。</w:t>
      </w:r>
    </w:p>
    <w:p w14:paraId="7316C122">
      <w:pPr>
        <w:pStyle w:val="4"/>
      </w:pPr>
      <w:r>
        <w:t>转向机构确定</w:t>
      </w:r>
    </w:p>
    <w:p w14:paraId="5F48753C">
      <w:r>
        <w:t>可实现转向功能的机构众多，各有优缺点。凸轮 + 摇杆机构能实现特定的运动规律，通过设计凸轮轮廓可精确控制摇杆的摆动角度和速度。但凸轮轮廓的加工难度较大，需要高精度的加工设备和工艺，且一旦加工完成，尺寸难以调整，若在实际运行中发现转向角度不合适，很难进行修改。</w:t>
      </w:r>
    </w:p>
    <w:p w14:paraId="27FD3C90">
      <w:r>
        <w:t>曲柄连杆 + 摇杆机构在实现转向功能方面具有独特优势。它的结构相对简单，设计和制造难度较低，不需要复杂的加工工艺和高精度设备。通过合理设计曲柄、连杆和摇杆的长度比例，能实现较为灵活的转向运动。而且，该机构在运行过程中稳定性较好，能可靠地将旋转运动转化为摇杆的来回摆动，带动转向轮实现转向功能。</w:t>
      </w:r>
    </w:p>
    <w:p w14:paraId="47358100">
      <w:r>
        <w:t>此外，曲柄连杆 + 摇杆机构对安装误差的敏感性相对较低，即使在安装过程中存在一定误差，也可通过增加微调装置进行调整，保证转向的准确性。相比其他一些转向机构，它在满足小车转向功能要求的同时，更易于实现和优化，综合考虑各方面因素，最终选择曲柄连杆 + 摇杆作为无碳小车的转向方案。</w:t>
      </w:r>
    </w:p>
    <w:p w14:paraId="126E9E9A">
      <w:pPr>
        <w:pStyle w:val="4"/>
      </w:pPr>
      <w:r>
        <w:t>行走机构设计</w:t>
      </w:r>
    </w:p>
    <w:p w14:paraId="4A1ECC9B">
      <w:r>
        <w:t>轮子的尺寸、材料和驱动方式对小车行走有着关键影响。轮子尺寸方面，较大的轮子在相同的驱动力下能提供更大的线速度，使小车行驶得更快，但过大的轮子会增加小车的整体高度和重量，影响稳定性；较小的轮子虽然能降低小车重心，提高稳定性，但行驶速度可能受限。</w:t>
      </w:r>
    </w:p>
    <w:p w14:paraId="4B3D17CC">
      <w:r>
        <w:t>材料的选择也至关重要，不同材料的轮子具有不同的特性。例如，橡胶轮具有良好的摩擦力和弹性，能提供较好的抓地力，使小车在行驶过程中不易打滑，但橡胶轮的耐磨性相对较差；而塑料轮则重量轻、成本低，但摩擦力较小，可能影响小车的驱动力传递。</w:t>
      </w:r>
    </w:p>
    <w:p w14:paraId="6A647FBA">
      <w:r>
        <w:t>驱动方式决定了小车的动力传输效率和行驶性能。双轮同步驱动能保证小车直线行驶的稳定性，但在转向时可能需要更大的转向力；双轮差速驱动能使小车在转向时更加灵活，但结构相对复杂；单轮驱动则简单直接，但对驱动轮的承载能力和驱动力要求较高。</w:t>
      </w:r>
    </w:p>
    <w:p w14:paraId="40CD2CA8">
      <w:r>
        <w:t>综合考虑，选择尺寸适中的轮子，以平衡速度和稳定性。材料方面，选用橡胶轮，利用其良好的摩擦力确保小车有足够的驱动力。驱动方式上，采用双轮同步驱动，保证小车直线行驶的平稳性，同时通过优化转向机构设计，降低转向时所需的力，确保小车在各种路况下都能稳定、灵活地行走。</w:t>
      </w:r>
    </w:p>
    <w:bookmarkEnd w:id="3"/>
    <w:p w14:paraId="399A8EED">
      <w:pPr>
        <w:pStyle w:val="3"/>
      </w:pPr>
      <w:bookmarkStart w:id="4" w:name="灵犀_hw8uvsyn9an82zly"/>
      <w:r>
        <w:t>无碳小车设计的教学实践</w:t>
      </w:r>
    </w:p>
    <w:p w14:paraId="327E4980">
      <w:pPr>
        <w:pStyle w:val="4"/>
      </w:pPr>
      <w:r>
        <w:t>教学目标设定</w:t>
      </w:r>
    </w:p>
    <w:p w14:paraId="386852CC">
      <w:r>
        <w:t>通过无碳小车设计教学，期望学生在多方面取得显著进步。在知识层面，学生能够深入理解无碳小车的工作原理，掌握其中涉及的力学、动力学等相关物理知识，熟悉小车各部分结构的设计原理与功能。</w:t>
      </w:r>
    </w:p>
    <w:p w14:paraId="4A63679A">
      <w:r>
        <w:t>技能方面，学生将学会运用所学知识解决实际问题，熟练掌握无碳小车的制作流程，包括材料选择、零部件加工与组装。同时，具备调试小车各项参数的能力，以优化其性能，提高实践操作与动手能力。</w:t>
      </w:r>
    </w:p>
    <w:p w14:paraId="0FE4A0AD">
      <w:r>
        <w:t>情感态度价值观上，激发学生对科学探索的浓厚兴趣，培养创新精神，鼓励他们在设计过程中勇于尝试新方法、新思路。增强团队合作意识，让学生在共同完成项目中学会沟通协作，体会科学探究的乐趣，树立严谨认真的科学态度。</w:t>
      </w:r>
    </w:p>
    <w:p w14:paraId="2C4D344D">
      <w:pPr>
        <w:pStyle w:val="4"/>
      </w:pPr>
      <w:r>
        <w:t>教学内容安排</w:t>
      </w:r>
    </w:p>
    <w:p w14:paraId="6ED427CF">
      <w:r>
        <w:t>教学内容围绕无碳小车设计展开，涵盖原理、制作、调试、竞赛等多个环节。首先讲解无碳小车的工作原理，包括重力势能转化为机械能的过程，以及各机构如何协同实现行走和转向功能，让学生建立理论基础。</w:t>
      </w:r>
    </w:p>
    <w:p w14:paraId="1F8CD01F">
      <w:r>
        <w:t>接着进入制作环节，详细介绍材料选择标准、结构设计要点以及组装步骤，引导学生动手制作。在调试阶段，传授学生调整小车参数的方法，如速比、转向角度等，使其掌握优化小车性能的技巧。</w:t>
      </w:r>
    </w:p>
    <w:p w14:paraId="02B24B66">
      <w:r>
        <w:t>竞赛环节则是对学生学习成果的综合检验，介绍竞赛规则和技巧，让学生在竞争中提升制作和操作能力。</w:t>
      </w:r>
    </w:p>
    <w:p w14:paraId="7EC494AB">
      <w:r>
        <w:t>教学大纲安排上，前期集中进行理论知识讲解，中期开展实践制作与调试，后期组织竞赛。每个阶段设置相应的任务和目标，逐步引导学生深入学习，确保学生既能掌握扎实的理论知识，又具备出色的实践能力。</w:t>
      </w:r>
    </w:p>
    <w:p w14:paraId="456DC8C1">
      <w:pPr>
        <w:pStyle w:val="4"/>
      </w:pPr>
      <w:r>
        <w:t>教学方法运用</w:t>
      </w:r>
    </w:p>
    <w:p w14:paraId="71A08963">
      <w:r>
        <w:t>为提高教学效果，采用多种教学方法。讲授法用于系统讲解无碳小车的基本原理、设计要点和制作方法，让学生快速获取知识框架，教师通过清晰的讲解和板书，使抽象知识变得易懂。</w:t>
      </w:r>
    </w:p>
    <w:p w14:paraId="7CA3D68C">
      <w:r>
        <w:t>讨论法鼓励学生就制作过程中遇到的问题展开讨论，分享想法和解决方案。教师引导讨论方向，促进学生思维碰撞，培养合作与交流能力。</w:t>
      </w:r>
    </w:p>
    <w:p w14:paraId="064D476E">
      <w:r>
        <w:t>案例分析法通过展示成功与失败的无碳小车设计案例，让学生分析优缺点，从中吸取经验教训，更好地理解和掌握制作技巧。</w:t>
      </w:r>
    </w:p>
    <w:p w14:paraId="401EB7CE">
      <w:r>
        <w:t>实验法让学生在实验室亲自动手制作和调试无碳小车。学生在实践中深化对理论知识的理解，提高动手能力和解决实际问题的能力。教师在旁指导，及时纠正错误，确保学生顺利完成任务。多种方法结合，激发学生学习兴趣，提升教学质量。</w:t>
      </w:r>
    </w:p>
    <w:p w14:paraId="662990D5">
      <w:pPr>
        <w:pStyle w:val="4"/>
      </w:pPr>
      <w:r>
        <w:t>教学资源准备</w:t>
      </w:r>
    </w:p>
    <w:p w14:paraId="0453727C">
      <w:r>
        <w:t>为保证教学顺利进行，需准备多种教学资源。教材选用专业且系统的书籍，为学生提供全面的理论知识，涵盖无碳小车的原理、设计、制作等内容，作为学习的基础参考资料。</w:t>
      </w:r>
    </w:p>
    <w:p w14:paraId="3CCBD311">
      <w:r>
        <w:t>参考书则进一步拓展学生知识面，提供不同角度的知识讲解和案例分析，满足学有余力学生的深入学习需求。</w:t>
      </w:r>
    </w:p>
    <w:p w14:paraId="55EFD947">
      <w:r>
        <w:t>多媒体资料包括精心制作的课件、动画和视频等，生动形象地展示无碳小车的制作过程、工作原理以及各机构的运动方式，帮助学生更好地理解抽象概念。</w:t>
      </w:r>
    </w:p>
    <w:p w14:paraId="6D5BDEDA">
      <w:r>
        <w:t>实验设备是实践教学的关键，准备充足的材料和工具，如各种规格的木材、金属材料、加工工具、测量仪器等，确保每个学生都能亲自动手操作，将理论知识应用于实践，提高动手能力和创新能力。</w:t>
      </w:r>
    </w:p>
    <w:p w14:paraId="309D7129">
      <w:pPr>
        <w:pStyle w:val="4"/>
      </w:pPr>
      <w:r>
        <w:t>教学评估方式</w:t>
      </w:r>
    </w:p>
    <w:p w14:paraId="1DC52B2D">
      <w:r>
        <w:t>采用多种评估方式全面、客观评价学生学习成果。平时表现评估注重观察学生在课堂上的参与程度，如是否积极提问、主动参与讨论，以此判断学习态度。同时关注学生在小组合作中的表现，评估团队协作能力。</w:t>
      </w:r>
    </w:p>
    <w:p w14:paraId="72627C5F">
      <w:r>
        <w:t>作业旨在考查学生对知识的掌握和应用能力，通过布置与无碳小车设计相关的作业，如计算参数、设计结构等，了解学生对理论知识的理解和运用水平。</w:t>
      </w:r>
    </w:p>
    <w:p w14:paraId="434D6199">
      <w:r>
        <w:t>考试检验学生对无碳小车相关知识的整体掌握情况，包括理论知识的记忆、理解和实际问题的分析解决能力。</w:t>
      </w:r>
    </w:p>
    <w:p w14:paraId="5EEC604C">
      <w:r>
        <w:t>项目报告要求学生详细记录无碳小车的设计思路、制作过程、遇到的问题及解决方案，评估其在整个过程中的思考深度和解决问题的能力。</w:t>
      </w:r>
    </w:p>
    <w:p w14:paraId="5A058E66">
      <w:r>
        <w:t>竞赛成绩则直观反映学生的综合实践能力，从设计创新、制作工艺到操作技巧等多方面进行考量，激励学生不断提升自己的实践和创新能力。多种评估方式结合，全面了解学生学习情况，促进教学质量提升。</w:t>
      </w:r>
    </w:p>
    <w:bookmarkEnd w:id="4"/>
    <w:p w14:paraId="3BC87F9D">
      <w:pPr>
        <w:pStyle w:val="3"/>
      </w:pPr>
      <w:bookmarkStart w:id="5" w:name="灵犀_yj4w1x0tyaesxw3i"/>
      <w:r>
        <w:t>新工科背景下的关联与发展</w:t>
      </w:r>
    </w:p>
    <w:p w14:paraId="24EFDF30">
      <w:pPr>
        <w:pStyle w:val="4"/>
      </w:pPr>
      <w:r>
        <w:t>新工科理念内涵</w:t>
      </w:r>
    </w:p>
    <w:p w14:paraId="43851BDC">
      <w:r>
        <w:t>新工科理念的提出，是全球工业革命浪潮与我国经济社会发展需求共同作用的结果。随着科技的飞速进步，新兴产业不断涌现，传统工科面临着转型升级的迫切需求。在此背景下，新工科理念应运而生。</w:t>
      </w:r>
    </w:p>
    <w:p w14:paraId="10608DC5">
      <w:r>
        <w:t>新工科理念的内涵丰富多元，它强调学科的交叉融合，打破传统工科专业之间的壁垒，促进多学科知识的有机结合。同时，注重培养学生的创新能力和实践能力，使学生能够适应快速变化的社会需求。其目标在于培养具有国际视野、创新精神和实践能力的高素质工程技术人才，以推动我国从工程教育大国迈向工程教育强国。</w:t>
      </w:r>
    </w:p>
    <w:p w14:paraId="0D3AAF05">
      <w:r>
        <w:t>新工科理念对工程教育改革和人才培养意义重大。它为工程教育指明了新的方向，促使高校更新教育理念，优化课程体系，加强实践教学。通过培养适应时代需求的工程人才，为我国产业升级和创新驱动发展提供坚实的人才支撑。</w:t>
      </w:r>
    </w:p>
    <w:p w14:paraId="702CDE57">
      <w:pPr>
        <w:pStyle w:val="4"/>
      </w:pPr>
      <w:r>
        <w:t>与智能制造专业的联系</w:t>
      </w:r>
    </w:p>
    <w:p w14:paraId="112A48BB">
      <w:r>
        <w:t>在新工科背景下，智能制造专业课程体系建设取得了一定进展，但也面临一些挑战。现状是部分高校已开设相关专业，但课程设置尚不完善，实践教学环节相对薄弱，与企业实际需求存在一定差距。</w:t>
      </w:r>
    </w:p>
    <w:p w14:paraId="2F56AC95">
      <w:r>
        <w:t>智能制造专业课程体系建设的目标是培养具备智能制造技术基础知识、创新能力和实践能力的复合型人才。原则上，需遵循系统性、实用性和创新性原则，构建涵盖智能制造全流程的课程体系。</w:t>
      </w:r>
    </w:p>
    <w:p w14:paraId="20C28F44">
      <w:r>
        <w:t>无碳小车设计与智能制造专业紧密相连。无碳小车设计涉及机械、电子、控制等多学科知识，与智能制造专业的多学科交叉特点相契合。通过无碳小车设计，学生能初步接触到智能制造的理念和方法，如自动化控制、智能传感器应用等。同时，智能制造专业的先进技术和理念也为无碳小车设计提供了新的思路和方法，推动无碳小车向智能化方向发展。两者相互促进，共同提升学生的专业素养和创新能力。</w:t>
      </w:r>
    </w:p>
    <w:p w14:paraId="5C0A054B">
      <w:pPr>
        <w:pStyle w:val="4"/>
      </w:pPr>
      <w:r>
        <w:t>对工程教育的推动</w:t>
      </w:r>
    </w:p>
    <w:p w14:paraId="3EC28945">
      <w:r>
        <w:t>无碳小车设计项目和新工科理念对工程教育产生了积极的推动作用。在创新能力培养方面，无碳小车设计鼓励学生突破传统思维，探索新的设计方案和技术应用，激发学生的创新灵感。新工科理念强调创新驱动，为学生营造了创新的教育氛围，培养学生的创新意识和创新精神。</w:t>
      </w:r>
    </w:p>
    <w:p w14:paraId="079956AE">
      <w:r>
        <w:t>实践能力培养上，无碳小车设计要求学生亲自动手制作和调试，将理论知识应用于实践，提高学生的动手能力和解决实际问题的能力。新工科理念注重实践教学，加强了学生实践能力的培养。</w:t>
      </w:r>
    </w:p>
    <w:p w14:paraId="7E668553">
      <w:r>
        <w:t>跨学科能力培养方面，无碳小车设计涉及多个学科领域的知识，促使学生进行跨学科学习和合作。新工科理念倡导学科交叉融合，培养学生的跨学科思维和团队协作能力。</w:t>
      </w:r>
    </w:p>
    <w:p w14:paraId="7A14204E">
      <w:r>
        <w:t>这些对未来工程教育发展具有重要启示。工程教育应更加注重学生综合素质的培养，加强实践教学和跨学科教育，紧密结合产业需求，不断更新教育内容和方法，以培养出更多适应时代发展需求的优秀工程人才。</w:t>
      </w:r>
    </w:p>
    <w:bookmarkEnd w:id="5"/>
    <w:p w14:paraId="3951955F">
      <w:pPr>
        <w:pStyle w:val="6"/>
        <w:numPr>
          <w:ilvl w:val="4"/>
          <w:numId w:val="0"/>
        </w:numPr>
        <w:bidi w:val="0"/>
        <w:ind w:leftChars="0"/>
        <w:rPr>
          <w:rFonts w:hint="default"/>
          <w:lang w:val="en-US" w:eastAsia="zh-CN"/>
        </w:rPr>
      </w:pPr>
    </w:p>
    <w:sectPr>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86"/>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80"/>
      </w:pPr>
      <w:r>
        <w:separator/>
      </w:r>
    </w:p>
  </w:footnote>
  <w:footnote w:type="continuationSeparator" w:id="1">
    <w:p>
      <w:pPr>
        <w:spacing w:before="0" w:after="0"/>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6709B35"/>
    <w:multiLevelType w:val="multilevel"/>
    <w:tmpl w:val="D6709B35"/>
    <w:lvl w:ilvl="0" w:tentative="0">
      <w:start w:val="1"/>
      <w:numFmt w:val="chineseCounting"/>
      <w:suff w:val="nothing"/>
      <w:lvlText w:val="第%1章 "/>
      <w:lvlJc w:val="left"/>
      <w:pPr>
        <w:ind w:left="0" w:firstLine="402"/>
      </w:pPr>
      <w:rPr>
        <w:rFonts w:hint="eastAsia"/>
      </w:rPr>
    </w:lvl>
    <w:lvl w:ilvl="1" w:tentative="0">
      <w:start w:val="1"/>
      <w:numFmt w:val="chineseCounting"/>
      <w:pStyle w:val="3"/>
      <w:suff w:val="nothing"/>
      <w:lvlText w:val="%2、"/>
      <w:lvlJc w:val="left"/>
      <w:pPr>
        <w:ind w:left="0" w:firstLine="402"/>
      </w:pPr>
      <w:rPr>
        <w:rFonts w:hint="eastAsia"/>
      </w:rPr>
    </w:lvl>
    <w:lvl w:ilvl="2" w:tentative="0">
      <w:start w:val="1"/>
      <w:numFmt w:val="decimal"/>
      <w:pStyle w:val="4"/>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1">
    <w:nsid w:val="FDF2C0C4"/>
    <w:multiLevelType w:val="singleLevel"/>
    <w:tmpl w:val="FDF2C0C4"/>
    <w:lvl w:ilvl="0" w:tentative="0">
      <w:start w:val="1"/>
      <w:numFmt w:val="bullet"/>
      <w:lvlText w:val=""/>
      <w:lvlJc w:val="left"/>
      <w:pPr>
        <w:ind w:left="720" w:hanging="360"/>
      </w:pPr>
      <w:rPr>
        <w:rFonts w:hint="default" w:ascii="Symbol" w:hAnsi="Symbol" w:cs="Symbol"/>
        <w:sz w:val="20"/>
      </w:rPr>
    </w:lvl>
  </w:abstractNum>
  <w:abstractNum w:abstractNumId="2">
    <w:nsid w:val="29AA8454"/>
    <w:multiLevelType w:val="multilevel"/>
    <w:tmpl w:val="29AA8454"/>
    <w:lvl w:ilvl="0" w:tentative="0">
      <w:start w:val="1"/>
      <w:numFmt w:val="chineseCounting"/>
      <w:suff w:val="nothing"/>
      <w:lvlText w:val="%1、"/>
      <w:lvlJc w:val="left"/>
      <w:pPr>
        <w:tabs>
          <w:tab w:val="left" w:pos="0"/>
        </w:tabs>
        <w:ind w:left="0" w:firstLine="0"/>
      </w:pPr>
      <w:rPr>
        <w:rFonts w:hint="eastAsia" w:ascii="黑体" w:hAnsi="黑体" w:eastAsia="黑体"/>
      </w:rPr>
    </w:lvl>
    <w:lvl w:ilvl="1" w:tentative="0">
      <w:start w:val="1"/>
      <w:numFmt w:val="chineseCounting"/>
      <w:suff w:val="nothing"/>
      <w:lvlText w:val="（%2）"/>
      <w:lvlJc w:val="left"/>
      <w:pPr>
        <w:tabs>
          <w:tab w:val="left" w:pos="0"/>
        </w:tabs>
        <w:ind w:left="0" w:firstLine="0"/>
      </w:pPr>
      <w:rPr>
        <w:rFonts w:hint="eastAsia" w:ascii="黑体" w:hAnsi="黑体" w:eastAsia="黑体"/>
      </w:rPr>
    </w:lvl>
    <w:lvl w:ilvl="2" w:tentative="0">
      <w:start w:val="1"/>
      <w:numFmt w:val="decimal"/>
      <w:suff w:val="nothing"/>
      <w:lvlText w:val="%3．"/>
      <w:lvlJc w:val="left"/>
      <w:pPr>
        <w:tabs>
          <w:tab w:val="left" w:pos="0"/>
        </w:tabs>
        <w:ind w:left="0" w:firstLine="400"/>
      </w:pPr>
      <w:rPr>
        <w:rFonts w:hint="eastAsia" w:ascii="黑体" w:hAnsi="黑体" w:eastAsia="黑体"/>
      </w:rPr>
    </w:lvl>
    <w:lvl w:ilvl="3" w:tentative="0">
      <w:start w:val="1"/>
      <w:numFmt w:val="decimal"/>
      <w:pStyle w:val="5"/>
      <w:suff w:val="nothing"/>
      <w:lvlText w:val="（%4）"/>
      <w:lvlJc w:val="left"/>
      <w:pPr>
        <w:tabs>
          <w:tab w:val="left" w:pos="0"/>
        </w:tabs>
        <w:ind w:left="0" w:firstLine="402"/>
      </w:pPr>
      <w:rPr>
        <w:rFonts w:hint="eastAsia" w:ascii="黑体" w:hAnsi="黑体" w:eastAsia="黑体"/>
      </w:rPr>
    </w:lvl>
    <w:lvl w:ilvl="4" w:tentative="0">
      <w:start w:val="1"/>
      <w:numFmt w:val="decimalEnclosedCircleChinese"/>
      <w:pStyle w:val="6"/>
      <w:suff w:val="nothing"/>
      <w:lvlText w:val="%5"/>
      <w:lvlJc w:val="left"/>
      <w:pPr>
        <w:tabs>
          <w:tab w:val="left" w:pos="0"/>
        </w:tabs>
        <w:ind w:left="0" w:firstLine="402"/>
      </w:pPr>
      <w:rPr>
        <w:rFonts w:hint="eastAsia" w:ascii="黑体" w:hAnsi="黑体" w:eastAsia="黑体"/>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OTgxM2RjOGM4NmFhZTkyOTlkMmE4MWQ0Zjg2YjZhY2IifQ=="/>
  </w:docVars>
  <w:rsids>
    <w:rsidRoot w:val="00000000"/>
    <w:rsid w:val="0D480EBF"/>
    <w:rsid w:val="0D570D57"/>
    <w:rsid w:val="10254AFF"/>
    <w:rsid w:val="13474EA9"/>
    <w:rsid w:val="17682CC6"/>
    <w:rsid w:val="17872A04"/>
    <w:rsid w:val="1A4E4275"/>
    <w:rsid w:val="1A5F56EF"/>
    <w:rsid w:val="225D0766"/>
    <w:rsid w:val="22AE0FC2"/>
    <w:rsid w:val="23745A0F"/>
    <w:rsid w:val="2C6D7571"/>
    <w:rsid w:val="3AF94A80"/>
    <w:rsid w:val="3E4C043C"/>
    <w:rsid w:val="3FEA17AB"/>
    <w:rsid w:val="410B542B"/>
    <w:rsid w:val="427B35B9"/>
    <w:rsid w:val="42BC2E2F"/>
    <w:rsid w:val="435B43F6"/>
    <w:rsid w:val="45B00A41"/>
    <w:rsid w:val="4C017B05"/>
    <w:rsid w:val="4D62478F"/>
    <w:rsid w:val="4FD75668"/>
    <w:rsid w:val="55426F5C"/>
    <w:rsid w:val="6401649C"/>
    <w:rsid w:val="65907A54"/>
    <w:rsid w:val="6AEC1C54"/>
    <w:rsid w:val="6EF47329"/>
    <w:rsid w:val="6FC25058"/>
    <w:rsid w:val="7C8E41F3"/>
    <w:rsid w:val="7DB7CA79"/>
    <w:rsid w:val="F6CF18E3"/>
  </w:rsids>
  <m:mathPr>
    <m:mathFont m:val="Cambria Math"/>
    <m:brkBin m:val="before"/>
    <m:brkBinSub m:val="--"/>
    <m:smallFrac m:val="0"/>
    <m:dispDef/>
    <m:lMargin m:val="0"/>
    <m:rMargin m:val="0"/>
    <m:defJc m:val="centerGroup"/>
    <m:wrapRight m:val="1"/>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80" w:beforeAutospacing="0" w:after="180" w:afterAutospacing="0"/>
      <w:ind w:firstLine="480" w:firstLineChars="200"/>
      <w:jc w:val="both"/>
    </w:pPr>
    <w:rPr>
      <w:rFonts w:ascii="微软雅黑" w:hAnsi="微软雅黑" w:eastAsia="微软雅黑" w:cstheme="minorBidi"/>
      <w:sz w:val="24"/>
      <w:szCs w:val="24"/>
      <w:lang w:val="en-US" w:eastAsia="en-US" w:bidi="ar-SA"/>
    </w:rPr>
  </w:style>
  <w:style w:type="paragraph" w:styleId="2">
    <w:name w:val="heading 1"/>
    <w:basedOn w:val="1"/>
    <w:qFormat/>
    <w:uiPriority w:val="9"/>
    <w:pPr>
      <w:keepNext/>
      <w:keepLines/>
      <w:numPr>
        <w:ilvl w:val="0"/>
        <w:numId w:val="0"/>
      </w:numPr>
      <w:tabs>
        <w:tab w:val="left" w:pos="0"/>
      </w:tabs>
      <w:spacing w:before="480" w:beforeAutospacing="0" w:after="0" w:afterAutospacing="0"/>
      <w:jc w:val="center"/>
      <w:outlineLvl w:val="0"/>
    </w:pPr>
    <w:rPr>
      <w:rFonts w:cstheme="majorBidi"/>
      <w:b/>
      <w:bCs/>
      <w:color w:val="auto"/>
      <w:sz w:val="32"/>
      <w:szCs w:val="32"/>
    </w:rPr>
  </w:style>
  <w:style w:type="paragraph" w:styleId="3">
    <w:name w:val="heading 2"/>
    <w:basedOn w:val="1"/>
    <w:unhideWhenUsed/>
    <w:qFormat/>
    <w:uiPriority w:val="9"/>
    <w:pPr>
      <w:keepNext/>
      <w:keepLines/>
      <w:numPr>
        <w:ilvl w:val="1"/>
        <w:numId w:val="1"/>
      </w:numPr>
      <w:tabs>
        <w:tab w:val="left" w:pos="0"/>
      </w:tabs>
      <w:spacing w:before="200" w:beforeAutospacing="0" w:after="0" w:afterAutospacing="0"/>
      <w:ind w:firstLine="0" w:firstLineChars="0"/>
      <w:outlineLvl w:val="1"/>
    </w:pPr>
    <w:rPr>
      <w:rFonts w:cstheme="majorBidi"/>
      <w:b/>
      <w:bCs/>
      <w:color w:val="auto"/>
      <w:sz w:val="28"/>
      <w:szCs w:val="28"/>
    </w:rPr>
  </w:style>
  <w:style w:type="paragraph" w:styleId="4">
    <w:name w:val="heading 3"/>
    <w:basedOn w:val="1"/>
    <w:unhideWhenUsed/>
    <w:qFormat/>
    <w:uiPriority w:val="9"/>
    <w:pPr>
      <w:keepNext/>
      <w:keepLines/>
      <w:numPr>
        <w:ilvl w:val="2"/>
        <w:numId w:val="1"/>
      </w:numPr>
      <w:tabs>
        <w:tab w:val="left" w:pos="0"/>
      </w:tabs>
      <w:spacing w:before="200" w:beforeAutospacing="0" w:after="0" w:afterAutospacing="0"/>
      <w:ind w:firstLine="0" w:firstLineChars="0"/>
      <w:outlineLvl w:val="2"/>
    </w:pPr>
    <w:rPr>
      <w:rFonts w:cstheme="majorBidi"/>
      <w:b/>
      <w:bCs/>
      <w:color w:val="auto"/>
    </w:rPr>
  </w:style>
  <w:style w:type="paragraph" w:styleId="5">
    <w:name w:val="heading 4"/>
    <w:basedOn w:val="1"/>
    <w:unhideWhenUsed/>
    <w:qFormat/>
    <w:uiPriority w:val="9"/>
    <w:pPr>
      <w:keepNext/>
      <w:keepLines/>
      <w:numPr>
        <w:ilvl w:val="3"/>
        <w:numId w:val="2"/>
      </w:numPr>
      <w:spacing w:before="200" w:beforeAutospacing="0" w:after="0" w:afterAutospacing="0"/>
      <w:ind w:firstLine="0" w:firstLineChars="0"/>
      <w:outlineLvl w:val="3"/>
    </w:pPr>
    <w:rPr>
      <w:rFonts w:cstheme="majorBidi"/>
      <w:bCs/>
      <w:i/>
      <w:color w:val="auto"/>
    </w:rPr>
  </w:style>
  <w:style w:type="paragraph" w:styleId="6">
    <w:name w:val="heading 5"/>
    <w:basedOn w:val="1"/>
    <w:unhideWhenUsed/>
    <w:qFormat/>
    <w:uiPriority w:val="9"/>
    <w:pPr>
      <w:keepNext/>
      <w:keepLines/>
      <w:numPr>
        <w:ilvl w:val="4"/>
        <w:numId w:val="2"/>
      </w:numPr>
      <w:spacing w:before="200" w:beforeAutospacing="0" w:after="0" w:afterAutospacing="0"/>
      <w:ind w:firstLine="0" w:firstLineChars="0"/>
      <w:outlineLvl w:val="4"/>
    </w:pPr>
    <w:rPr>
      <w:rFonts w:cstheme="majorBidi"/>
      <w:iCs/>
      <w:color w:val="auto"/>
    </w:rPr>
  </w:style>
  <w:style w:type="paragraph" w:styleId="7">
    <w:name w:val="heading 6"/>
    <w:basedOn w:val="1"/>
    <w:unhideWhenUsed/>
    <w:qFormat/>
    <w:uiPriority w:val="9"/>
    <w:pPr>
      <w:keepNext/>
      <w:keepLines/>
      <w:numPr>
        <w:ilvl w:val="5"/>
        <w:numId w:val="2"/>
      </w:numPr>
      <w:spacing w:before="200" w:beforeAutospacing="0" w:after="0" w:afterAutospacing="0"/>
      <w:ind w:firstLine="0" w:firstLineChars="0"/>
      <w:outlineLvl w:val="5"/>
    </w:pPr>
    <w:rPr>
      <w:rFonts w:cstheme="majorBidi"/>
      <w:color w:val="auto"/>
    </w:rPr>
  </w:style>
  <w:style w:type="paragraph" w:styleId="8">
    <w:name w:val="heading 7"/>
    <w:basedOn w:val="1"/>
    <w:unhideWhenUsed/>
    <w:qFormat/>
    <w:uiPriority w:val="9"/>
    <w:pPr>
      <w:keepNext/>
      <w:keepLines/>
      <w:numPr>
        <w:ilvl w:val="6"/>
        <w:numId w:val="2"/>
      </w:numPr>
      <w:spacing w:before="200" w:beforeAutospacing="0" w:after="0" w:afterAutospacing="0"/>
      <w:ind w:firstLine="0" w:firstLineChars="0"/>
      <w:outlineLvl w:val="6"/>
    </w:pPr>
    <w:rPr>
      <w:rFonts w:cstheme="majorBidi"/>
      <w:color w:val="auto"/>
    </w:rPr>
  </w:style>
  <w:style w:type="paragraph" w:styleId="9">
    <w:name w:val="heading 8"/>
    <w:basedOn w:val="1"/>
    <w:unhideWhenUsed/>
    <w:qFormat/>
    <w:uiPriority w:val="9"/>
    <w:pPr>
      <w:keepNext/>
      <w:keepLines/>
      <w:numPr>
        <w:ilvl w:val="7"/>
        <w:numId w:val="2"/>
      </w:numPr>
      <w:spacing w:before="200" w:beforeAutospacing="0" w:after="0" w:afterAutospacing="0"/>
      <w:ind w:firstLine="0" w:firstLineChars="0"/>
      <w:outlineLvl w:val="7"/>
    </w:pPr>
    <w:rPr>
      <w:rFonts w:cstheme="majorBidi"/>
      <w:color w:val="auto"/>
    </w:rPr>
  </w:style>
  <w:style w:type="paragraph" w:styleId="10">
    <w:name w:val="heading 9"/>
    <w:basedOn w:val="1"/>
    <w:unhideWhenUsed/>
    <w:qFormat/>
    <w:uiPriority w:val="9"/>
    <w:pPr>
      <w:keepNext/>
      <w:keepLines/>
      <w:numPr>
        <w:ilvl w:val="8"/>
        <w:numId w:val="2"/>
      </w:numPr>
      <w:spacing w:before="200" w:beforeAutospacing="0" w:after="0" w:afterAutospacing="0"/>
      <w:ind w:firstLine="0" w:firstLineChars="0"/>
      <w:outlineLvl w:val="8"/>
    </w:pPr>
    <w:rPr>
      <w:rFonts w:cstheme="majorBidi"/>
      <w:color w:val="auto"/>
    </w:rPr>
  </w:style>
  <w:style w:type="character" w:default="1" w:styleId="19">
    <w:name w:val="Default Paragraph Font"/>
    <w:semiHidden/>
    <w:unhideWhenUsed/>
    <w:qFormat/>
    <w:uiPriority w:val="0"/>
  </w:style>
  <w:style w:type="table" w:default="1" w:styleId="18">
    <w:name w:val="Normal Table"/>
    <w:qFormat/>
    <w:uiPriority w:val="0"/>
    <w:tblPr>
      <w:tblCellMar>
        <w:top w:w="0" w:type="dxa"/>
        <w:left w:w="108" w:type="dxa"/>
        <w:bottom w:w="0" w:type="dxa"/>
        <w:right w:w="108" w:type="dxa"/>
      </w:tblCellMar>
    </w:tblPr>
  </w:style>
  <w:style w:type="paragraph" w:styleId="11">
    <w:name w:val="caption"/>
    <w:basedOn w:val="1"/>
    <w:qFormat/>
    <w:uiPriority w:val="0"/>
    <w:pPr>
      <w:spacing w:before="0" w:after="120"/>
    </w:pPr>
    <w:rPr>
      <w:i/>
    </w:rPr>
  </w:style>
  <w:style w:type="paragraph" w:styleId="12">
    <w:name w:val="Block Text"/>
    <w:unhideWhenUsed/>
    <w:qFormat/>
    <w:uiPriority w:val="9"/>
    <w:pPr>
      <w:spacing w:before="100" w:after="100"/>
      <w:ind w:left="480" w:right="480" w:firstLine="0"/>
    </w:pPr>
    <w:rPr>
      <w:rFonts w:ascii="Times New Roman" w:hAnsi="Times New Roman" w:eastAsia="宋体" w:cs="Times New Roman"/>
    </w:rPr>
  </w:style>
  <w:style w:type="paragraph" w:styleId="13">
    <w:name w:val="Date"/>
    <w:qFormat/>
    <w:uiPriority w:val="0"/>
    <w:pPr>
      <w:keepNext/>
      <w:keepLines/>
      <w:spacing w:after="200"/>
      <w:jc w:val="center"/>
    </w:pPr>
    <w:rPr>
      <w:rFonts w:ascii="微软雅黑" w:hAnsi="微软雅黑" w:eastAsia="微软雅黑" w:cstheme="minorBidi"/>
      <w:sz w:val="24"/>
      <w:szCs w:val="24"/>
      <w:lang w:val="en-US" w:eastAsia="en-US" w:bidi="ar-SA"/>
    </w:rPr>
  </w:style>
  <w:style w:type="paragraph" w:styleId="14">
    <w:name w:val="Subtitle"/>
    <w:basedOn w:val="15"/>
    <w:qFormat/>
    <w:uiPriority w:val="0"/>
    <w:pPr>
      <w:keepNext/>
      <w:keepLines/>
      <w:spacing w:before="240" w:after="240"/>
      <w:jc w:val="center"/>
    </w:pPr>
    <w:rPr>
      <w:rFonts w:ascii="微软雅黑" w:hAnsi="微软雅黑"/>
      <w:sz w:val="30"/>
      <w:szCs w:val="30"/>
    </w:rPr>
  </w:style>
  <w:style w:type="paragraph" w:styleId="15">
    <w:name w:val="Title"/>
    <w:basedOn w:val="1"/>
    <w:qFormat/>
    <w:uiPriority w:val="0"/>
    <w:pPr>
      <w:keepNext/>
      <w:keepLines/>
      <w:spacing w:before="60"/>
      <w:ind w:firstLine="0" w:firstLineChars="0"/>
      <w:jc w:val="center"/>
    </w:pPr>
    <w:rPr>
      <w:rFonts w:cstheme="majorBidi"/>
      <w:b/>
      <w:bCs/>
      <w:color w:val="auto"/>
      <w:sz w:val="36"/>
      <w:szCs w:val="36"/>
    </w:rPr>
  </w:style>
  <w:style w:type="paragraph" w:styleId="16">
    <w:name w:val="footnote text"/>
    <w:basedOn w:val="1"/>
    <w:unhideWhenUsed/>
    <w:qFormat/>
    <w:uiPriority w:val="9"/>
    <w:rPr>
      <w:rFonts w:ascii="微软雅黑" w:hAnsi="微软雅黑" w:eastAsia="微软雅黑"/>
    </w:rPr>
  </w:style>
  <w:style w:type="paragraph" w:styleId="17">
    <w:name w:val="Normal (Web)"/>
    <w:basedOn w:val="1"/>
    <w:qFormat/>
    <w:uiPriority w:val="0"/>
    <w:pPr>
      <w:spacing w:before="-2147483648" w:beforeAutospacing="1" w:after="-2147483648" w:afterAutospacing="1"/>
      <w:ind w:left="0" w:right="0" w:firstLine="560" w:firstLineChars="200"/>
      <w:jc w:val="both"/>
    </w:pPr>
    <w:rPr>
      <w:rFonts w:ascii="微软雅黑" w:hAnsi="微软雅黑" w:eastAsia="微软雅黑"/>
      <w:lang w:eastAsia="zh-CN" w:bidi="ar"/>
    </w:rPr>
  </w:style>
  <w:style w:type="character" w:styleId="20">
    <w:name w:val="Hyperlink"/>
    <w:qFormat/>
    <w:uiPriority w:val="0"/>
    <w:rPr>
      <w:color w:val="0070C0"/>
      <w:u w:val="single"/>
    </w:rPr>
  </w:style>
  <w:style w:type="character" w:styleId="21">
    <w:name w:val="footnote reference"/>
    <w:qFormat/>
    <w:uiPriority w:val="0"/>
    <w:rPr>
      <w:vertAlign w:val="superscript"/>
    </w:rPr>
  </w:style>
  <w:style w:type="paragraph" w:customStyle="1" w:styleId="22">
    <w:name w:val="First Paragraph"/>
    <w:qFormat/>
    <w:uiPriority w:val="0"/>
    <w:pPr>
      <w:ind w:firstLine="720" w:firstLineChars="200"/>
      <w:jc w:val="both"/>
    </w:pPr>
    <w:rPr>
      <w:rFonts w:ascii="Times New Roman" w:hAnsi="Times New Roman" w:eastAsia="宋体" w:cs="Times New Roman"/>
    </w:rPr>
  </w:style>
  <w:style w:type="paragraph" w:customStyle="1" w:styleId="23">
    <w:name w:val="Compact"/>
    <w:qFormat/>
    <w:uiPriority w:val="0"/>
    <w:pPr>
      <w:spacing w:before="36" w:after="36"/>
    </w:pPr>
    <w:rPr>
      <w:rFonts w:ascii="Times New Roman" w:hAnsi="Times New Roman" w:eastAsia="宋体" w:cs="Times New Roman"/>
    </w:rPr>
  </w:style>
  <w:style w:type="paragraph" w:customStyle="1" w:styleId="24">
    <w:name w:val="Author"/>
    <w:qFormat/>
    <w:uiPriority w:val="0"/>
    <w:pPr>
      <w:keepNext/>
      <w:keepLines/>
      <w:spacing w:after="200"/>
      <w:jc w:val="center"/>
    </w:pPr>
    <w:rPr>
      <w:rFonts w:ascii="微软雅黑" w:hAnsi="微软雅黑" w:eastAsia="微软雅黑" w:cstheme="minorBidi"/>
      <w:sz w:val="24"/>
      <w:szCs w:val="24"/>
      <w:lang w:val="en-US" w:eastAsia="en-US" w:bidi="ar-SA"/>
    </w:rPr>
  </w:style>
  <w:style w:type="paragraph" w:customStyle="1" w:styleId="25">
    <w:name w:val="Abstract Title"/>
    <w:basedOn w:val="1"/>
    <w:next w:val="26"/>
    <w:qFormat/>
    <w:uiPriority w:val="0"/>
    <w:pPr>
      <w:keepNext/>
      <w:keepLines/>
      <w:spacing w:before="300" w:after="0"/>
      <w:jc w:val="center"/>
    </w:pPr>
    <w:rPr>
      <w:b/>
      <w:color w:val="345A8A"/>
      <w:sz w:val="20"/>
      <w:szCs w:val="20"/>
    </w:rPr>
  </w:style>
  <w:style w:type="paragraph" w:customStyle="1" w:styleId="26">
    <w:name w:val="Abstract"/>
    <w:basedOn w:val="1"/>
    <w:qFormat/>
    <w:uiPriority w:val="0"/>
    <w:pPr>
      <w:keepNext/>
      <w:keepLines/>
      <w:spacing w:before="100" w:after="300"/>
    </w:pPr>
    <w:rPr>
      <w:rFonts w:ascii="微软雅黑" w:hAnsi="微软雅黑" w:eastAsia="微软雅黑"/>
      <w:sz w:val="20"/>
      <w:szCs w:val="20"/>
    </w:rPr>
  </w:style>
  <w:style w:type="paragraph" w:customStyle="1" w:styleId="27">
    <w:name w:val="Bibliography"/>
    <w:basedOn w:val="1"/>
    <w:qFormat/>
    <w:uiPriority w:val="0"/>
  </w:style>
  <w:style w:type="paragraph" w:customStyle="1" w:styleId="28">
    <w:name w:val="Footnote Block Text"/>
    <w:unhideWhenUsed/>
    <w:qFormat/>
    <w:uiPriority w:val="9"/>
    <w:pPr>
      <w:spacing w:before="100" w:after="100"/>
      <w:ind w:left="480" w:right="480" w:firstLine="0"/>
    </w:pPr>
    <w:rPr>
      <w:rFonts w:asciiTheme="minorHAnsi" w:hAnsiTheme="minorHAnsi" w:eastAsiaTheme="minorHAnsi" w:cstheme="minorBidi"/>
      <w:sz w:val="24"/>
      <w:szCs w:val="24"/>
      <w:lang w:val="en-US" w:eastAsia="en-US" w:bidi="ar-SA"/>
    </w:rPr>
  </w:style>
  <w:style w:type="table" w:customStyle="1" w:styleId="29">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30">
    <w:name w:val="Definition Term"/>
    <w:basedOn w:val="1"/>
    <w:next w:val="31"/>
    <w:qFormat/>
    <w:uiPriority w:val="0"/>
    <w:pPr>
      <w:keepNext/>
      <w:keepLines/>
      <w:spacing w:after="0"/>
    </w:pPr>
    <w:rPr>
      <w:rFonts w:ascii="微软雅黑" w:hAnsi="微软雅黑" w:eastAsia="微软雅黑"/>
      <w:b/>
    </w:rPr>
  </w:style>
  <w:style w:type="paragraph" w:customStyle="1" w:styleId="31">
    <w:name w:val="Definition"/>
    <w:basedOn w:val="1"/>
    <w:qFormat/>
    <w:uiPriority w:val="0"/>
    <w:rPr>
      <w:rFonts w:ascii="微软雅黑" w:hAnsi="微软雅黑" w:eastAsia="微软雅黑"/>
    </w:rPr>
  </w:style>
  <w:style w:type="paragraph" w:customStyle="1" w:styleId="32">
    <w:name w:val="Table Caption"/>
    <w:basedOn w:val="11"/>
    <w:qFormat/>
    <w:uiPriority w:val="0"/>
    <w:pPr>
      <w:keepNext/>
    </w:pPr>
    <w:rPr>
      <w:rFonts w:ascii="微软雅黑" w:hAnsi="微软雅黑" w:eastAsia="微软雅黑"/>
    </w:rPr>
  </w:style>
  <w:style w:type="paragraph" w:customStyle="1" w:styleId="33">
    <w:name w:val="Image Caption"/>
    <w:basedOn w:val="11"/>
    <w:qFormat/>
    <w:uiPriority w:val="0"/>
    <w:rPr>
      <w:rFonts w:ascii="微软雅黑" w:hAnsi="微软雅黑" w:eastAsia="微软雅黑"/>
    </w:rPr>
  </w:style>
  <w:style w:type="paragraph" w:customStyle="1" w:styleId="34">
    <w:name w:val="Figure"/>
    <w:basedOn w:val="1"/>
    <w:qFormat/>
    <w:uiPriority w:val="0"/>
  </w:style>
  <w:style w:type="paragraph" w:customStyle="1" w:styleId="35">
    <w:name w:val="Captioned Figure"/>
    <w:basedOn w:val="34"/>
    <w:qFormat/>
    <w:uiPriority w:val="0"/>
    <w:pPr>
      <w:keepNext/>
    </w:pPr>
  </w:style>
  <w:style w:type="character" w:customStyle="1" w:styleId="36">
    <w:name w:val="Verbatim Char"/>
    <w:qFormat/>
    <w:uiPriority w:val="0"/>
    <w:rPr>
      <w:rFonts w:ascii="Consolas" w:hAnsi="Consolas"/>
      <w:sz w:val="22"/>
    </w:rPr>
  </w:style>
  <w:style w:type="character" w:customStyle="1" w:styleId="37">
    <w:name w:val="Section Number"/>
    <w:qFormat/>
    <w:uiPriority w:val="0"/>
  </w:style>
  <w:style w:type="paragraph" w:customStyle="1" w:styleId="38">
    <w:name w:val="TOC Heading"/>
    <w:basedOn w:val="2"/>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paragraph" w:customStyle="1" w:styleId="39">
    <w:name w:val="Source Code"/>
    <w:qFormat/>
    <w:uiPriority w:val="0"/>
    <w:pPr>
      <w:wordWrap w:val="0"/>
    </w:pPr>
    <w:rPr>
      <w:rFonts w:asciiTheme="minorHAnsi" w:hAnsiTheme="minorHAnsi" w:eastAsiaTheme="minorHAnsi" w:cstheme="minorBidi"/>
    </w:rPr>
  </w:style>
  <w:style w:type="character" w:customStyle="1" w:styleId="40">
    <w:name w:val="KeywordTok"/>
    <w:qFormat/>
    <w:uiPriority w:val="0"/>
    <w:rPr>
      <w:b/>
      <w:color w:val="007020"/>
    </w:rPr>
  </w:style>
  <w:style w:type="character" w:customStyle="1" w:styleId="41">
    <w:name w:val="DataTypeTok"/>
    <w:qFormat/>
    <w:uiPriority w:val="0"/>
    <w:rPr>
      <w:color w:val="902000"/>
    </w:rPr>
  </w:style>
  <w:style w:type="character" w:customStyle="1" w:styleId="42">
    <w:name w:val="DecValTok"/>
    <w:qFormat/>
    <w:uiPriority w:val="0"/>
    <w:rPr>
      <w:color w:val="40A070"/>
    </w:rPr>
  </w:style>
  <w:style w:type="character" w:customStyle="1" w:styleId="43">
    <w:name w:val="BaseNTok"/>
    <w:qFormat/>
    <w:uiPriority w:val="0"/>
    <w:rPr>
      <w:color w:val="40A070"/>
    </w:rPr>
  </w:style>
  <w:style w:type="character" w:customStyle="1" w:styleId="44">
    <w:name w:val="FloatTok"/>
    <w:qFormat/>
    <w:uiPriority w:val="0"/>
    <w:rPr>
      <w:color w:val="40A070"/>
    </w:rPr>
  </w:style>
  <w:style w:type="character" w:customStyle="1" w:styleId="45">
    <w:name w:val="ConstantTok"/>
    <w:qFormat/>
    <w:uiPriority w:val="0"/>
    <w:rPr>
      <w:color w:val="880000"/>
    </w:rPr>
  </w:style>
  <w:style w:type="character" w:customStyle="1" w:styleId="46">
    <w:name w:val="CharTok"/>
    <w:qFormat/>
    <w:uiPriority w:val="0"/>
    <w:rPr>
      <w:color w:val="4070A0"/>
    </w:rPr>
  </w:style>
  <w:style w:type="character" w:customStyle="1" w:styleId="47">
    <w:name w:val="SpecialCharTok"/>
    <w:qFormat/>
    <w:uiPriority w:val="0"/>
    <w:rPr>
      <w:color w:val="4070A0"/>
    </w:rPr>
  </w:style>
  <w:style w:type="character" w:customStyle="1" w:styleId="48">
    <w:name w:val="StringTok"/>
    <w:qFormat/>
    <w:uiPriority w:val="0"/>
    <w:rPr>
      <w:color w:val="4070A0"/>
    </w:rPr>
  </w:style>
  <w:style w:type="character" w:customStyle="1" w:styleId="49">
    <w:name w:val="VerbatimStringTok"/>
    <w:qFormat/>
    <w:uiPriority w:val="0"/>
    <w:rPr>
      <w:color w:val="4070A0"/>
    </w:rPr>
  </w:style>
  <w:style w:type="character" w:customStyle="1" w:styleId="50">
    <w:name w:val="SpecialStringTok"/>
    <w:qFormat/>
    <w:uiPriority w:val="0"/>
    <w:rPr>
      <w:color w:val="BB6688"/>
    </w:rPr>
  </w:style>
  <w:style w:type="character" w:customStyle="1" w:styleId="51">
    <w:name w:val="ImportTok"/>
    <w:qFormat/>
    <w:uiPriority w:val="0"/>
    <w:rPr>
      <w:b/>
      <w:color w:val="008000"/>
    </w:rPr>
  </w:style>
  <w:style w:type="character" w:customStyle="1" w:styleId="52">
    <w:name w:val="CommentTok"/>
    <w:qFormat/>
    <w:uiPriority w:val="0"/>
    <w:rPr>
      <w:i/>
      <w:color w:val="60A0B0"/>
    </w:rPr>
  </w:style>
  <w:style w:type="character" w:customStyle="1" w:styleId="53">
    <w:name w:val="DocumentationTok"/>
    <w:qFormat/>
    <w:uiPriority w:val="0"/>
    <w:rPr>
      <w:i/>
      <w:color w:val="BA2121"/>
    </w:rPr>
  </w:style>
  <w:style w:type="character" w:customStyle="1" w:styleId="54">
    <w:name w:val="AnnotationTok"/>
    <w:qFormat/>
    <w:uiPriority w:val="0"/>
    <w:rPr>
      <w:b/>
      <w:i/>
      <w:color w:val="60A0B0"/>
    </w:rPr>
  </w:style>
  <w:style w:type="character" w:customStyle="1" w:styleId="55">
    <w:name w:val="CommentVarTok"/>
    <w:qFormat/>
    <w:uiPriority w:val="0"/>
    <w:rPr>
      <w:b/>
      <w:i/>
      <w:color w:val="60A0B0"/>
    </w:rPr>
  </w:style>
  <w:style w:type="character" w:customStyle="1" w:styleId="56">
    <w:name w:val="OtherTok"/>
    <w:qFormat/>
    <w:uiPriority w:val="0"/>
    <w:rPr>
      <w:color w:val="007020"/>
    </w:rPr>
  </w:style>
  <w:style w:type="character" w:customStyle="1" w:styleId="57">
    <w:name w:val="FunctionTok"/>
    <w:qFormat/>
    <w:uiPriority w:val="0"/>
    <w:rPr>
      <w:color w:val="06287E"/>
    </w:rPr>
  </w:style>
  <w:style w:type="character" w:customStyle="1" w:styleId="58">
    <w:name w:val="VariableTok"/>
    <w:qFormat/>
    <w:uiPriority w:val="0"/>
    <w:rPr>
      <w:color w:val="19177C"/>
    </w:rPr>
  </w:style>
  <w:style w:type="character" w:customStyle="1" w:styleId="59">
    <w:name w:val="ControlFlowTok"/>
    <w:qFormat/>
    <w:uiPriority w:val="0"/>
    <w:rPr>
      <w:b/>
      <w:color w:val="007020"/>
    </w:rPr>
  </w:style>
  <w:style w:type="character" w:customStyle="1" w:styleId="60">
    <w:name w:val="OperatorTok"/>
    <w:qFormat/>
    <w:uiPriority w:val="0"/>
    <w:rPr>
      <w:color w:val="666666"/>
    </w:rPr>
  </w:style>
  <w:style w:type="character" w:customStyle="1" w:styleId="61">
    <w:name w:val="BuiltInTok"/>
    <w:qFormat/>
    <w:uiPriority w:val="0"/>
    <w:rPr>
      <w:color w:val="008000"/>
    </w:rPr>
  </w:style>
  <w:style w:type="character" w:customStyle="1" w:styleId="62">
    <w:name w:val="ExtensionTok"/>
    <w:qFormat/>
    <w:uiPriority w:val="0"/>
  </w:style>
  <w:style w:type="character" w:customStyle="1" w:styleId="63">
    <w:name w:val="PreprocessorTok"/>
    <w:qFormat/>
    <w:uiPriority w:val="0"/>
    <w:rPr>
      <w:color w:val="BC7A00"/>
    </w:rPr>
  </w:style>
  <w:style w:type="character" w:customStyle="1" w:styleId="64">
    <w:name w:val="AttributeTok"/>
    <w:qFormat/>
    <w:uiPriority w:val="0"/>
    <w:rPr>
      <w:color w:val="7D9029"/>
    </w:rPr>
  </w:style>
  <w:style w:type="character" w:customStyle="1" w:styleId="65">
    <w:name w:val="RegionMarkerTok"/>
    <w:qFormat/>
    <w:uiPriority w:val="0"/>
  </w:style>
  <w:style w:type="character" w:customStyle="1" w:styleId="66">
    <w:name w:val="InformationTok"/>
    <w:qFormat/>
    <w:uiPriority w:val="0"/>
    <w:rPr>
      <w:b/>
      <w:i/>
      <w:color w:val="60A0B0"/>
    </w:rPr>
  </w:style>
  <w:style w:type="character" w:customStyle="1" w:styleId="67">
    <w:name w:val="WarningTok"/>
    <w:qFormat/>
    <w:uiPriority w:val="0"/>
    <w:rPr>
      <w:b/>
      <w:i/>
      <w:color w:val="60A0B0"/>
    </w:rPr>
  </w:style>
  <w:style w:type="character" w:customStyle="1" w:styleId="68">
    <w:name w:val="AlertTok"/>
    <w:qFormat/>
    <w:uiPriority w:val="0"/>
    <w:rPr>
      <w:b/>
      <w:color w:val="FF0000"/>
    </w:rPr>
  </w:style>
  <w:style w:type="character" w:customStyle="1" w:styleId="69">
    <w:name w:val="ErrorTok"/>
    <w:qFormat/>
    <w:uiPriority w:val="0"/>
    <w:rPr>
      <w:b/>
      <w:color w:val="FF0000"/>
    </w:rPr>
  </w:style>
  <w:style w:type="character" w:customStyle="1" w:styleId="70">
    <w:name w:val="NormalTok"/>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12</Pages>
  <Words>7983</Words>
  <Characters>8041</Characters>
  <Lines>12</Lines>
  <Paragraphs>8</Paragraphs>
  <TotalTime>1</TotalTime>
  <ScaleCrop>false</ScaleCrop>
  <LinksUpToDate>false</LinksUpToDate>
  <CharactersWithSpaces>8075</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2024-11-13T07:05:00Z</dcterms:created>
  <dc:creator>bowen</dc:creator>
  <cp:lastModifiedBy>WPS_1615428640</cp:lastModifiedBy>
  <dcterms:modified xsi:type="dcterms:W3CDTF">2025-02-18T02:38:14Z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B8D75C2FE09D96B814E4B367B6D91E99_43</vt:lpwstr>
  </property>
  <property fmtid="{D5CDD505-2E9C-101B-9397-08002B2CF9AE}" pid="4" name="KSOTemplateDocerSaveRecord">
    <vt:lpwstr>eyJoZGlkIjoiZWZmOGJmOTlkMGMwMDM1NmNiZjQ0OTY1YzIxYjUzY2UiLCJ1c2VySWQiOiIxMTc4NzgyNTY0In0=</vt:lpwstr>
  </property>
</Properties>
</file>