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odyText"/>
      </w:pPr>
      <w:r>
        <w:t xml:space="preserve">We picked this because it is the rare climate problem two students can</w:t>
      </w:r>
      <w:r>
        <w:t xml:space="preserve"> </w:t>
      </w:r>
      <w:r>
        <w:t xml:space="preserve">actually build something about. Reading about early-warning systems, what</w:t>
      </w:r>
      <w:r>
        <w:t xml:space="preserve"> </w:t>
      </w:r>
      <w:r>
        <w:t xml:space="preserve">struck us was that the hard part is not the science but the last mile: the</w:t>
      </w:r>
      <w:r>
        <w:t xml:space="preserve"> </w:t>
      </w:r>
      <w:r>
        <w:t xml:space="preserve">forecast exists, and nobody is watching the particular street. A watcher for</w:t>
      </w:r>
      <w:r>
        <w:t xml:space="preserve"> </w:t>
      </w:r>
      <w:r>
        <w:t xml:space="preserve">one street is software and an £85 computer, which is exactly what we had.</w:t>
      </w:r>
    </w:p>
    <w:p>
      <w:pPr>
        <w:pStyle w:val="BodyText"/>
      </w:pPr>
      <w:r>
        <w:t xml:space="preserve">We wanted a low-cost way for a school or a community to watch its own streets,</w:t>
      </w:r>
      <w:r>
        <w:t xml:space="preserve"> </w:t>
      </w:r>
      <w:r>
        <w:t xml:space="preserve">and to be told in plain English what to do.</w:t>
      </w:r>
    </w:p>
    <w:bookmarkEnd w:id="12"/>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4" name="Picture"/>
            <a:graphic>
              <a:graphicData uri="http://schemas.openxmlformats.org/drawingml/2006/picture">
                <pic:pic>
                  <pic:nvPicPr>
                    <pic:cNvPr descr="photos/photo-1-pi-running.jp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2 — The data path. Every source emits the same canonical reading (eight channels plus source and quality flag), so a real sensor is a drop-in and nothing downstream changes;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2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cannot turn a SAFE node into an alert.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3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3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7"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4 — Live Map, flood scenario, demo (simulated) data, on the dashboard’s offline basemap. Each circle is one of the 20 nodes; colour and size show risk 0–100; the blue lines are the Thames, the Lea, the Wandle and Regent’s Canal. The river and canal nodes are the ones in red." title="" id="25" name="Picture"/>
            <a:graphic>
              <a:graphicData uri="http://schemas.openxmlformats.org/drawingml/2006/picture">
                <pic:pic>
                  <pic:nvPicPr>
                    <pic:cNvPr descr="figures/live-map-flood-demo-crop.png" id="26"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4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7"/>
    <w:bookmarkStart w:id="31" w:name="evidence-that-it-works"/>
    <w:p>
      <w:pPr>
        <w:pStyle w:val="Heading2"/>
      </w:pPr>
      <w:r>
        <w:t xml:space="preserve">6. Evidence that it works</w:t>
      </w:r>
    </w:p>
    <w:p>
      <w:pPr>
        <w:pStyle w:val="Compact"/>
        <w:numPr>
          <w:ilvl w:val="0"/>
          <w:numId w:val="1003"/>
        </w:numPr>
      </w:pPr>
      <w:r>
        <w:rPr>
          <w:b/>
          <w:bCs/>
        </w:rPr>
        <w:t xml:space="preserve">180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180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5 — Network Overview, flood scenario, demo data: the four river nodes go CRITICAL while inland nodes such as Brixton and Greenwich stay SAFE. The hazard lands where it should, and the purple badge says every value is simulated." title="" id="29" name="Picture"/>
            <a:graphic>
              <a:graphicData uri="http://schemas.openxmlformats.org/drawingml/2006/picture">
                <pic:pic>
                  <pic:nvPicPr>
                    <pic:cNvPr descr="figures/network-overview-flood-demo-crop.png" id="30" name="Picture"/>
                    <pic:cNvPicPr>
                      <a:picLocks noChangeArrowheads="1" noChangeAspect="1"/>
                    </pic:cNvPicPr>
                  </pic:nvPicPr>
                  <pic:blipFill>
                    <a:blip r:embed="rId28"/>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bookmarkEnd w:id="31"/>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all 180 tests passed in 9 s,</w:t>
      </w:r>
      <w:r>
        <w:t xml:space="preserve"> </w:t>
      </w:r>
      <w:r>
        <w:t xml:space="preserve">the model trained in 0.1 s, a full 20-node cycle took 13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180.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13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(September 2026) we used an AI coding assistant</w:t>
      </w:r>
      <w:r>
        <w:t xml:space="preserve"> </w:t>
      </w:r>
      <w:r>
        <w:t xml:space="preserve">(Anthropic’s Claude), working under our direction: it reviewed the code and</w:t>
      </w:r>
      <w:r>
        <w:t xml:space="preserve"> </w:t>
      </w:r>
      <w:r>
        <w:t xml:space="preserve">fixed the bugs it found; added tests (the suite grew from 144 to 180);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+ 180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9" Type="http://schemas.openxmlformats.org/officeDocument/2006/relationships/image" Target="media/rId9.png"/><Relationship Id="rId28" Type="http://schemas.openxmlformats.org/officeDocument/2006/relationships/image" Target="media/rId28.png"/><Relationship Id="rId20" Type="http://schemas.openxmlformats.org/officeDocument/2006/relationships/image" Target="media/rId20.png"/><Relationship Id="rId13" Type="http://schemas.openxmlformats.org/officeDocument/2006/relationships/image" Target="media/rId13.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2026-09-15T21:25:51Z</dcterms:created>
  <dcterms:modified xsi:type="dcterms:W3CDTF">2026-09-15T21:25:51Z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