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12"/>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2 — The data path. Every source emits the same canonical reading (eight channels plus source and quality flag), so a real sensor is a drop-in and nothing downstream changes;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2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3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3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4 — Live Map, flood scenario, demo (simulated) data, on the dashboard’s offline basemap. Each circle is one of the 20 nodes; colour and size show risk 0–100; the blue lines are the Thames, the Lea, the Wandle and Regent’s Canal. The river and canal nodes are the ones in red." title="" id="25" name="Picture"/>
            <a:graphic>
              <a:graphicData uri="http://schemas.openxmlformats.org/drawingml/2006/picture">
                <pic:pic>
                  <pic:nvPicPr>
                    <pic:cNvPr descr="figures/live-map-flood-demo-crop.png" id="26"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4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1"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bookmarkEnd w:id="31"/>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We kept the per-cycle cost small on purpose: the 20 nodes are</w:t>
      </w:r>
      <w:r>
        <w:t xml:space="preserve"> </w:t>
      </w:r>
      <w:r>
        <w:t xml:space="preserve">scored by the Isolation Forest in one batch rather than one at a time, which</w:t>
      </w:r>
      <w:r>
        <w:t xml:space="preserve"> </w:t>
      </w:r>
      <w:r>
        <w:t xml:space="preserve">cut a full cycle from about 425 ms to about 23 ms on our development machine</w:t>
      </w:r>
      <w:r>
        <w:t xml:space="preserve"> </w:t>
      </w:r>
      <w:r>
        <w:t xml:space="preserve">(a 16 GB x86-64 Linux laptop, Python 3.11), where the model trains in 0.2 s</w:t>
      </w:r>
      <w:r>
        <w:t xml:space="preserve"> </w:t>
      </w:r>
      <w:r>
        <w:t xml:space="preserve">and the engine peaks at about 200 MB of memory. Those are laptop measurements</w:t>
      </w:r>
      <w:r>
        <w:t xml:space="preserve"> </w:t>
      </w:r>
      <w:r>
        <w:t xml:space="preserve">(</w:t>
      </w:r>
      <w:r>
        <w:rPr>
          <w:rStyle w:val="VerbatimChar"/>
        </w:rPr>
        <w:t xml:space="preserve">python scripts/pi_benchmark.py</w:t>
      </w:r>
      <w:r>
        <w:t xml:space="preserve"> </w:t>
      </w:r>
      <w:r>
        <w:t xml:space="preserve">prints them for whatever machine it runs on).</w:t>
      </w:r>
    </w:p>
    <w:p>
      <w:pPr>
        <w:pStyle w:val="BodyText"/>
      </w:pPr>
      <w:r>
        <w:rPr>
          <w:b/>
          <w:bCs/>
        </w:rPr>
        <w:t xml:space="preserve">On the Pi.</w:t>
      </w:r>
      <w:r>
        <w:t xml:space="preserve"> </w:t>
      </w:r>
      <w:r>
        <w:t xml:space="preserve">We have not yet timed it on the Pi itself, so for the Pi we</w:t>
      </w:r>
      <w:r>
        <w:t xml:space="preserve"> </w:t>
      </w:r>
      <w:r>
        <w:t xml:space="preserve">give an estimate and label it as one: the Pi 5’s Cortex-A76 cores are roughly</w:t>
      </w:r>
      <w:r>
        <w:t xml:space="preserve"> </w:t>
      </w:r>
      <w:r>
        <w:t xml:space="preserve">three to four times slower than a laptop core on this kind of single-threaded</w:t>
      </w:r>
      <w:r>
        <w:t xml:space="preserve"> </w:t>
      </w:r>
      <w:r>
        <w:t xml:space="preserve">Python and scikit-learn work, which puts a full cycle at around 100 ms, about</w:t>
      </w:r>
      <w:r>
        <w:t xml:space="preserve"> </w:t>
      </w:r>
      <w:r>
        <w:t xml:space="preserve">5 % of the 2-second read interval, and the 200 MB footprint sits comfortably</w:t>
      </w:r>
      <w:r>
        <w:t xml:space="preserve"> </w:t>
      </w:r>
      <w:r>
        <w:t xml:space="preserve">inside the 4 GB board with the dashboard alongside.</w:t>
      </w:r>
    </w:p>
    <w:p>
      <w:pPr>
        <w:pStyle w:val="BodyText"/>
      </w:pPr>
      <w:r>
        <w:rPr>
          <w:b/>
          <w:bCs/>
        </w:rPr>
        <w:t xml:space="preserve">Installation.</w:t>
      </w:r>
      <w:r>
        <w:t xml:space="preserve"> </w:t>
      </w:r>
      <w:r>
        <w:t xml:space="preserve">Every dependency ships a prebuilt 64-bit Arm wheel,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173. We worked on it together throughout, reviewing each</w:t>
      </w:r>
      <w:r>
        <w:t xml:space="preserve"> </w:t>
      </w:r>
      <w:r>
        <w:t xml:space="preserve">other’s changes, and we would both be able to explain any part of it to a</w:t>
      </w:r>
      <w:r>
        <w:t xml:space="preserve"> </w:t>
      </w:r>
      <w:r>
        <w:t xml:space="preserve">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we used an AI coding assistant (Anthropic’s</w:t>
      </w:r>
      <w:r>
        <w:t xml:space="preserve"> </w:t>
      </w:r>
      <w:r>
        <w:t xml:space="preserve">Claude): it reviewed the code, fixed the bugs it found, added tests, captured</w:t>
      </w:r>
      <w:r>
        <w:t xml:space="preserve"> </w:t>
      </w:r>
      <w:r>
        <w:t xml:space="preserve">the screenshots and helped edit this document. No teacher, mentor or other</w:t>
      </w:r>
      <w:r>
        <w:t xml:space="preserve"> </w:t>
      </w:r>
      <w:r>
        <w:t xml:space="preserve">adult wrote any part of the code or of this document. The concept, the design</w:t>
      </w:r>
      <w:r>
        <w:t xml:space="preserve"> </w:t>
      </w:r>
      <w:r>
        <w:t xml:space="preserve">and the original 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image" Target="media/rId9.png"/><Relationship Id="rId28" Type="http://schemas.openxmlformats.org/officeDocument/2006/relationships/image" Target="media/rId28.png"/><Relationship Id="rId20" Type="http://schemas.openxmlformats.org/officeDocument/2006/relationships/image" Target="media/rId20.png"/><Relationship Id="rId13" Type="http://schemas.openxmlformats.org/officeDocument/2006/relationships/image" Target="media/rId13.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2026-09-15T14:13:11Z</dcterms:created>
  <dcterms:modified xsi:type="dcterms:W3CDTF">2026-09-15T14:13:11Z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