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9 August 2026, P10B-09 and P10B-12</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9 August 2026, P10B-12 content and support page families</w:t>
            </w:r>
          </w:p>
        </w:tc>
      </w:tr>
      <w:tr>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9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9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990" w:type="dxa"/>
            <w:vAlign w:val="center"/>
          </w:tcPr>
          <w:p>
            <w:pPr>
              <w:pStyle w:val="CompactTableText"/>
              <w:widowControl/>
            </w:pPr>
            <w:r>
              <w:rPr>
                <w:rFonts w:ascii="Calibri" w:hAnsi="Calibri" w:cs="Calibri"/>
              </w:rPr>
              <w:t>Integration; browser/E2E; retained human commercial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990" w:type="dxa"/>
            <w:vAlign w:val="center"/>
          </w:tcPr>
          <w:p>
            <w:pPr>
              <w:pStyle w:val="CompactTableText"/>
              <w:widowControl/>
            </w:pPr>
            <w:r>
              <w:rPr>
                <w:rFonts w:ascii="Calibri" w:hAnsi="Calibri" w:cs="Calibri"/>
              </w:rPr>
              <w:t>Contract; browser/E2E; accessibility; performance; fallback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990" w:type="dxa"/>
            <w:vAlign w:val="center"/>
          </w:tcPr>
          <w:p>
            <w:pPr>
              <w:pStyle w:val="CompactTableText"/>
              <w:widowControl/>
            </w:pPr>
            <w:r>
              <w:rPr>
                <w:rFonts w:ascii="Calibri" w:hAnsi="Calibri" w:cs="Calibri"/>
              </w:rPr>
              <w:t>Adapter conformance; browser/E2E; Vesko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9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9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9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9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9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9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990" w:type="dxa"/>
            <w:vAlign w:val="center"/>
          </w:tcPr>
          <w:p>
            <w:pPr>
              <w:pStyle w:val="CompactTableText"/>
              <w:widowControl/>
            </w:pPr>
            <w:r>
              <w:rPr>
                <w:rFonts w:ascii="Calibri" w:hAnsi="Calibri" w:cs="Calibri"/>
              </w:rPr>
              <w:t>Schema/queryability, migration, compatibility and typed rejection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27 definitions/100 variants; structural, query, migration and rejection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9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Page-set/navigation/generation/lifecycle and rejection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9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990" w:type="dxa"/>
            <w:vAlign w:val="center"/>
          </w:tcPr>
          <w:p>
            <w:pPr>
              <w:pStyle w:val="CompactTableText"/>
              <w:widowControl/>
            </w:pPr>
            <w:r>
              <w:rPr>
                <w:rFonts w:ascii="Calibri" w:hAnsi="Calibri" w:cs="Calibri"/>
              </w:rPr>
              <w:t>Six heroes, story/campaign/proof chain, provenance and four-width browser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9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990" w:type="dxa"/>
            <w:vAlign w:val="center"/>
          </w:tcPr>
          <w:p>
            <w:pPr>
              <w:pStyle w:val="CompactTableText"/>
              <w:widowControl/>
            </w:pPr>
            <w:r>
              <w:rPr>
                <w:rFonts w:ascii="Calibri" w:hAnsi="Calibri" w:cs="Calibri"/>
              </w:rPr>
              <w:t>Six profiles, materialization-to-render and 24-view visual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990" w:type="dxa"/>
            <w:vAlign w:val="center"/>
          </w:tcPr>
          <w:p>
            <w:pPr>
              <w:pStyle w:val="CompactTableText"/>
              <w:widowControl/>
            </w:pPr>
            <w:r>
              <w:rPr>
                <w:rFonts w:ascii="Calibri" w:hAnsi="Calibri" w:cs="Calibri"/>
              </w:rPr>
              <w:t>Four profiles, commerce/intents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990" w:type="dxa"/>
            <w:vAlign w:val="center"/>
          </w:tcPr>
          <w:p>
            <w:pPr>
              <w:pStyle w:val="CompactTableText"/>
              <w:widowControl/>
            </w:pPr>
            <w:r>
              <w:rPr>
                <w:rFonts w:ascii="Calibri" w:hAnsi="Calibri" w:cs="Calibri"/>
              </w:rPr>
              <w:t>Four profiles, generic options/commerce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990" w:type="dxa"/>
            <w:vAlign w:val="center"/>
          </w:tcPr>
          <w:p>
            <w:pPr>
              <w:pStyle w:val="CompactTableText"/>
              <w:widowControl/>
            </w:pPr>
            <w:r>
              <w:rPr>
                <w:rFonts w:ascii="Calibri" w:hAnsi="Calibri" w:cs="Calibri"/>
              </w:rPr>
              <w:t>15 profiles; current approved facts; locale/navigation; save/reload/compiler; 61 zero-provider Chromium checks</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990" w:type="dxa"/>
            <w:vAlign w:val="center"/>
          </w:tcPr>
          <w:p>
            <w:pPr>
              <w:pStyle w:val="CompactTableText"/>
              <w:widowControl/>
            </w:pPr>
            <w:r>
              <w:rPr>
                <w:rFonts w:ascii="Calibri" w:hAnsi="Calibri" w:cs="Calibri"/>
              </w:rPr>
              <w:t>Search/cart/checkout/state/a11y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990" w:type="dxa"/>
            <w:vAlign w:val="center"/>
          </w:tcPr>
          <w:p>
            <w:pPr>
              <w:pStyle w:val="CompactTableText"/>
              <w:widowControl/>
            </w:pPr>
            <w:r>
              <w:rPr>
                <w:rFonts w:ascii="Calibri" w:hAnsi="Calibri" w:cs="Calibri"/>
              </w:rPr>
              <w:t>Complete page set, four widths and retained human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990" w:type="dxa"/>
            <w:vAlign w:val="center"/>
          </w:tcPr>
          <w:p>
            <w:pPr>
              <w:pStyle w:val="CompactTableText"/>
              <w:widowControl/>
            </w:pPr>
            <w:r>
              <w:rPr>
                <w:rFonts w:ascii="Calibri" w:hAnsi="Calibri" w:cs="Calibri"/>
              </w:rPr>
              <w:t>Determinism, compatibility, no-partial snapshot and repetition control</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990" w:type="dxa"/>
            <w:vAlign w:val="center"/>
          </w:tcPr>
          <w:p>
            <w:pPr>
              <w:pStyle w:val="CompactTableText"/>
              <w:widowControl/>
            </w:pPr>
            <w:r>
              <w:rPr>
                <w:rFonts w:ascii="Calibri" w:hAnsi="Calibri" w:cs="Calibri"/>
              </w:rPr>
              <w:t>Fingerprints, duplicate/near-duplicate and pairwise diversity</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 and implemented families</w:t>
            </w:r>
          </w:p>
        </w:tc>
        <w:tc>
          <w:tcPr>
            <w:tcW w:w="2990" w:type="dxa"/>
            <w:vAlign w:val="center"/>
          </w:tcPr>
          <w:p>
            <w:pPr>
              <w:pStyle w:val="CompactTableText"/>
              <w:widowControl/>
            </w:pPr>
            <w:r>
              <w:rPr>
                <w:rFonts w:ascii="Calibri" w:hAnsi="Calibri" w:cs="Calibri"/>
              </w:rPr>
              <w:t>Four-width EN/FI geometry, a11y, performance and visual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990" w:type="dxa"/>
            <w:vAlign w:val="center"/>
          </w:tcPr>
          <w:p>
            <w:pPr>
              <w:pStyle w:val="CompactTableText"/>
              <w:widowControl/>
            </w:pPr>
            <w:r>
              <w:rPr>
                <w:rFonts w:ascii="Calibri" w:hAnsi="Calibri" w:cs="Calibri"/>
              </w:rPr>
              <w:t>100+ configurations and fingerprint-stratified human review</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990" w:type="dxa"/>
            <w:vAlign w:val="center"/>
          </w:tcPr>
          <w:p>
            <w:pPr>
              <w:pStyle w:val="CompactTableText"/>
              <w:widowControl/>
            </w:pPr>
            <w:r>
              <w:rPr>
                <w:rFonts w:ascii="Calibri" w:hAnsi="Calibri" w:cs="Calibri"/>
              </w:rPr>
              <w:t>Contract, integration,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990" w:type="dxa"/>
            <w:vAlign w:val="center"/>
          </w:tcPr>
          <w:p>
            <w:pPr>
              <w:pStyle w:val="CompactTableText"/>
              <w:widowControl/>
            </w:pPr>
            <w:r>
              <w:rPr>
                <w:rFonts w:ascii="Calibri" w:hAnsi="Calibri" w:cs="Calibri"/>
              </w:rPr>
              <w:t>Assignment validation and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990" w:type="dxa"/>
            <w:vAlign w:val="center"/>
          </w:tcPr>
          <w:p>
            <w:pPr>
              <w:pStyle w:val="CompactTableText"/>
              <w:widowControl/>
            </w:pPr>
            <w:r>
              <w:rPr>
                <w:rFonts w:ascii="Calibri" w:hAnsi="Calibri" w:cs="Calibri"/>
              </w:rPr>
              <w:t>Adapter conformance and save/reload preservation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990" w:type="dxa"/>
            <w:vAlign w:val="center"/>
          </w:tcPr>
          <w:p>
            <w:pPr>
              <w:pStyle w:val="CompactTableText"/>
              <w:widowControl/>
            </w:pPr>
            <w:r>
              <w:rPr>
                <w:rFonts w:ascii="Calibri" w:hAnsi="Calibri" w:cs="Calibri"/>
              </w:rPr>
              <w:t>Frame/page scope integration and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990" w:type="dxa"/>
            <w:vAlign w:val="center"/>
          </w:tcPr>
          <w:p>
            <w:pPr>
              <w:pStyle w:val="CompactTableText"/>
              <w:widowControl/>
            </w:pPr>
            <w:r>
              <w:rPr>
                <w:rFonts w:ascii="Calibri" w:hAnsi="Calibri" w:cs="Calibri"/>
              </w:rPr>
              <w:t>Positive/fail-closed integration, undo/redo,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990" w:type="dxa"/>
            <w:vAlign w:val="center"/>
          </w:tcPr>
          <w:p>
            <w:pPr>
              <w:pStyle w:val="CompactTableText"/>
              <w:widowControl/>
            </w:pPr>
            <w:r>
              <w:rPr>
                <w:rFonts w:ascii="Calibri" w:hAnsi="Calibri" w:cs="Calibri"/>
              </w:rPr>
              <w:t>Scope, ambiguity, and proposal lifecycle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990" w:type="dxa"/>
            <w:vAlign w:val="center"/>
          </w:tcPr>
          <w:p>
            <w:pPr>
              <w:pStyle w:val="CompactTableText"/>
              <w:widowControl/>
            </w:pPr>
            <w:r>
              <w:rPr>
                <w:rFonts w:ascii="Calibri" w:hAnsi="Calibri" w:cs="Calibri"/>
              </w:rPr>
              <w:t>Mixed-operation atomicity, save/reload, undo/redo</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990" w:type="dxa"/>
            <w:vAlign w:val="center"/>
          </w:tcPr>
          <w:p>
            <w:pPr>
              <w:pStyle w:val="CompactTableText"/>
              <w:widowControl/>
            </w:pPr>
            <w:r>
              <w:rPr>
                <w:rFonts w:ascii="Calibri" w:hAnsi="Calibri" w:cs="Calibri"/>
              </w:rPr>
              <w:t>UI states, responsive accessibility,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9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990" w:type="dxa"/>
            <w:vAlign w:val="center"/>
          </w:tcPr>
          <w:p>
            <w:pPr>
              <w:pStyle w:val="CompactTableText"/>
              <w:widowControl/>
            </w:pPr>
            <w:r>
              <w:rPr>
                <w:rFonts w:ascii="Calibri" w:hAnsi="Calibri" w:cs="Calibri"/>
              </w:rPr>
              <w:t>Contract audit and integration matrix</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990" w:type="dxa"/>
            <w:vAlign w:val="center"/>
          </w:tcPr>
          <w:p>
            <w:pPr>
              <w:pStyle w:val="CompactTableText"/>
              <w:widowControl/>
            </w:pPr>
            <w:r>
              <w:rPr>
                <w:rFonts w:ascii="Calibri" w:hAnsi="Calibri" w:cs="Calibri"/>
              </w:rPr>
              <w:t>Approved typed contracts and ownership record</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990" w:type="dxa"/>
            <w:vAlign w:val="center"/>
          </w:tcPr>
          <w:p>
            <w:pPr>
              <w:pStyle w:val="CompactTableText"/>
              <w:widowControl/>
            </w:pPr>
            <w:r>
              <w:rPr>
                <w:rFonts w:ascii="Calibri" w:hAnsi="Calibri" w:cs="Calibri"/>
              </w:rPr>
              <w:t>Auth/tenant adapter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990" w:type="dxa"/>
            <w:vAlign w:val="center"/>
          </w:tcPr>
          <w:p>
            <w:pPr>
              <w:pStyle w:val="CompactTableText"/>
              <w:widowControl/>
            </w:pPr>
            <w:r>
              <w:rPr>
                <w:rFonts w:ascii="Calibri" w:hAnsi="Calibri" w:cs="Calibri"/>
              </w:rPr>
              <w:t>Read-only adapter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990" w:type="dxa"/>
            <w:vAlign w:val="center"/>
          </w:tcPr>
          <w:p>
            <w:pPr>
              <w:pStyle w:val="CompactTableText"/>
              <w:widowControl/>
            </w:pPr>
            <w:r>
              <w:rPr>
                <w:rFonts w:ascii="Calibri" w:hAnsi="Calibri" w:cs="Calibri"/>
              </w:rPr>
              <w:t>Simple/configurable product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990" w:type="dxa"/>
            <w:vAlign w:val="center"/>
          </w:tcPr>
          <w:p>
            <w:pPr>
              <w:pStyle w:val="CompactTableText"/>
              <w:widowControl/>
            </w:pPr>
            <w:r>
              <w:rPr>
                <w:rFonts w:ascii="Calibri" w:hAnsi="Calibri" w:cs="Calibri"/>
              </w:rPr>
              <w:t>Provenance, permissions, lifecycle,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990" w:type="dxa"/>
            <w:vAlign w:val="center"/>
          </w:tcPr>
          <w:p>
            <w:pPr>
              <w:pStyle w:val="CompactTableText"/>
              <w:widowControl/>
            </w:pPr>
            <w:r>
              <w:rPr>
                <w:rFonts w:ascii="Calibri" w:hAnsi="Calibri" w:cs="Calibri"/>
              </w:rPr>
              <w:t>Concurrency and canonical save/reload/restore in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9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990" w:type="dxa"/>
            <w:vAlign w:val="center"/>
          </w:tcPr>
          <w:p>
            <w:pPr>
              <w:pStyle w:val="CompactTableText"/>
              <w:widowControl/>
            </w:pPr>
            <w:r>
              <w:rPr>
                <w:rFonts w:ascii="Calibri" w:hAnsi="Calibri" w:cs="Calibri"/>
              </w:rPr>
              <w:t>Conflict, retry, cache, and recovery integration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990" w:type="dxa"/>
            <w:vAlign w:val="center"/>
          </w:tcPr>
          <w:p>
            <w:pPr>
              <w:pStyle w:val="CompactTableText"/>
              <w:widowControl/>
            </w:pPr>
            <w:r>
              <w:rPr>
                <w:rFonts w:ascii="Calibri" w:hAnsi="Calibri" w:cs="Calibri"/>
              </w:rPr>
              <w:t>Browser/E2E and correlated Vesko staging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9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P10B-09 and P10B-12 are </w:t>
      </w:r>
      <w:r>
        <w:rPr>
          <w:rFonts w:ascii="Calibri" w:hAnsi="Calibri" w:cs="Calibri"/>
          <w:b/>
          <w:bCs/>
        </w:rPr>
        <w:t>Baseline</w:t>
      </w:r>
      <w:r>
        <w:rPr>
          <w:rFonts w:ascii="Calibri" w:hAnsi="Calibri" w:cs="Calibri"/>
        </w:rPr>
        <w:t xml:space="preserve">. P10B-10, P10B-11, and P10B-13 through P10B-18 remain </w:t>
      </w:r>
      <w:r>
        <w:rPr>
          <w:rFonts w:ascii="Calibri" w:hAnsi="Calibri" w:cs="Calibri"/>
          <w:b/>
          <w:bCs/>
        </w:rPr>
        <w:t>Planned</w:t>
      </w:r>
      <w:r>
        <w:rPr>
          <w:rFonts w:ascii="Calibri" w:hAnsi="Calibri" w:cs="Calibri"/>
        </w:rPr>
        <w:t>. The remaining Done conditions are implementation gates, not claims about the current repository.</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5"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7"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8"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9"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0"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11"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12"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13"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14"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Done when:</w:t>
      </w:r>
      <w:r>
        <w:rPr>
          <w:rFonts w:ascii="Calibri" w:hAnsi="Calibri" w:cs="Calibri"/>
        </w:rPr>
        <w:t xml:space="preserve"> Every state presents canonical facts/actions with coherent Design DNA/frame, useful empty/error behavior, complete page-set reachability, responsive accessibility, snapshot, and publication preservation.</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Done when:</w:t>
      </w:r>
      <w:r>
        <w:rPr>
          <w:rFonts w:ascii="Calibri" w:hAnsi="Calibri" w:cs="Calibri"/>
        </w:rPr>
        <w:t xml:space="preserve"> One approved brief with realistic commerce and credible assets generates shared frame, home, collection, simple/configurable PDP, About, Contact/locations, FAQ/service, and required utility/error states; navigation, EN/FI where supported, four widths, protected state, preview/publish, and retained human review pass.</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signed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Done when:</w:t>
      </w:r>
      <w:r>
        <w:rPr>
          <w:rFonts w:ascii="Calibri" w:hAnsi="Calibri" w:cs="Calibri"/>
        </w:rPr>
        <w:t xml:space="preserve"> Deterministic selection preserves cross-page identity, narrative adjacency/ cardinality, repetition limits, bindings/assets, and complete snapshot/lifecycle output for representative inputs.</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Selection/compatibility/unit, proposal/compiler/lifecycle integration, no-partial- write, deterministic fingerprint inputs, and complete-store browser evidence.</w:t>
      </w:r>
    </w:p>
    <w:p>
      <w:pPr>
        <w:pStyle w:val="Normal"/>
        <w:numPr>
          <w:ilvl w:val="0"/>
          <w:numId w:val="1"/>
        </w:numPr>
        <w:widowControl/>
      </w:pPr>
      <w:r>
        <w:rPr>
          <w:rFonts w:ascii="Calibri" w:hAnsi="Calibri" w:cs="Calibri"/>
          <w:b/>
          <w:bCs/>
        </w:rPr>
        <w:t>Non-goal:</w:t>
      </w:r>
      <w:r>
        <w:rPr>
          <w:rFonts w:ascii="Calibri" w:hAnsi="Calibri" w:cs="Calibri"/>
        </w:rPr>
        <w:t xml:space="preserve"> Arbitrary trees/styles or a second synthesis representation.</w:t>
      </w:r>
    </w:p>
    <w:p>
      <w:pPr>
        <w:pStyle w:val="Heading3"/>
        <w:keepNext/>
        <w:widowControl/>
      </w:pPr>
      <w:r>
        <w:rPr>
          <w:rFonts w:ascii="Calibri" w:hAnsi="Calibri" w:cs="Calibri"/>
        </w:rPr>
        <w:t>P10B-16 — Coordinated directions and diversity control</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Existing direction-selection authority plus deterministic storefront-design fingerprint/evaluation.</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 when:</w:t>
      </w:r>
      <w:r>
        <w:rPr>
          <w:rFonts w:ascii="Calibri" w:hAnsi="Calibri" w:cs="Calibri"/>
        </w:rPr>
        <w:t xml:space="preserve"> Fingerprints cover Design DNA, page set/profiles, frame, anatomies/variants, structural parameters, image posture, density/responsive posture, and narrative composition; exact and meaningful near duplicates fail, and pairwise stores differ materially beyond colour.</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Determinism, exact/near-duplicate fixtures, pairwise structural scoring, direction compatibility, complete-store generation, and representative visual evidence.</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Implemented commercial families/profiles/directions through P10B-16.</w:t>
      </w:r>
    </w:p>
    <w:p>
      <w:pPr>
        <w:pStyle w:val="Normal"/>
        <w:numPr>
          <w:ilvl w:val="0"/>
          <w:numId w:val="1"/>
        </w:numPr>
        <w:widowControl/>
      </w:pPr>
      <w:r>
        <w:rPr>
          <w:rFonts w:ascii="Calibri" w:hAnsi="Calibri" w:cs="Calibri"/>
          <w:b/>
          <w:bCs/>
        </w:rPr>
        <w:t>Done when:</w:t>
      </w:r>
      <w:r>
        <w:rPr>
          <w:rFonts w:ascii="Calibri" w:hAnsi="Calibri" w:cs="Calibri"/>
        </w:rPr>
        <w:t xml:space="preserve"> All supported page families/directions pass 375/768/1024/1440 and EN/FI geometry, declared transformations, keyboard/focus/semantics/contrast, content/commerce retention, and explicit performance budgets with correlated evidence.</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geometry/a11y/performance/browser matrices plus retained representative human review.</w:t>
      </w:r>
    </w:p>
    <w:p>
      <w:pPr>
        <w:pStyle w:val="Normal"/>
        <w:numPr>
          <w:ilvl w:val="0"/>
          <w:numId w:val="1"/>
        </w:numPr>
        <w:widowControl/>
      </w:pPr>
      <w:r>
        <w:rPr>
          <w:rFonts w:ascii="Calibri" w:hAnsi="Calibri" w:cs="Calibri"/>
          <w:b/>
          <w:bCs/>
        </w:rPr>
        <w:t>Non-goal:</w:t>
      </w:r>
      <w:r>
        <w:rPr>
          <w:rFonts w:ascii="Calibri" w:hAnsi="Calibri" w:cs="Calibri"/>
        </w:rPr>
        <w:t xml:space="preserve">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15" w:history="1">
        <w:r>
          <w:rPr>
            <w:rFonts w:ascii="Calibri" w:hAnsi="Calibri" w:cs="Calibri"/>
            <w:color w:val="2E74B5"/>
            <w:u w:val="single"/>
          </w:rPr>
          <w:t>VESKO_OPENAPI_CONTRACT_AUDIT.md</w:t>
        </w:r>
      </w:hyperlink>
      <w:r>
        <w:rPr>
          <w:rFonts w:ascii="Calibri" w:hAnsi="Calibri" w:cs="Calibri"/>
        </w:rPr>
        <w:t xml:space="preserve"> and </w:t>
      </w:r>
      <w:hyperlink r:id="rIdHyperlink16"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 </w:t>
      </w:r>
      <w:r>
        <w:rPr>
          <w:rFonts w:ascii="Calibri" w:hAnsi="Calibri" w:cs="Calibri"/>
          <w:b/>
          <w:bCs/>
        </w:rPr>
        <w:t>Non-goal:</w:t>
      </w:r>
      <w:r>
        <w:rPr>
          <w:rFonts w:ascii="Calibri" w:hAnsi="Calibri" w:cs="Calibri"/>
        </w:rPr>
        <w:t xml:space="preserve"> New design, editor, advanced-media, or commerce scope.</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12960"/>
      </w:tabs>
    </w:pPr>
    <w:r>
      <w:rPr>
        <w:rFonts w:ascii="Calibri" w:hAnsi="Calibri" w:cs="Calibri"/>
      </w:rPr>
      <w:t>Veskify Delivery Tracker v1.3.0</w:t>
    </w:r>
    <w:r>
      <w:rPr>
        <w:rFonts w:ascii="Calibri" w:hAnsi="Calibri" w:cs="Calibri"/>
      </w:rPr>
      <w:t xml:space="preserve">	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01_COMMERCIAL_DESIGN_GRAMMAR.md" TargetMode="External"/><Relationship Id="rIdHyperlink6" Type="http://schemas.openxmlformats.org/officeDocument/2006/relationships/hyperlink" Target="P10B_02_PARAMETRIC_BRAND_SYSTEM.md" TargetMode="External"/><Relationship Id="rIdHyperlink7" Type="http://schemas.openxmlformats.org/officeDocument/2006/relationships/hyperlink" Target="P10B_03_COMPONENT_ANATOMY_AND_MEANINGFUL_VARIANTS.md" TargetMode="External"/><Relationship Id="rIdHyperlink8" Type="http://schemas.openxmlformats.org/officeDocument/2006/relationships/hyperlink" Target="P10B_04_RESPONSIVE_IMAGE_ART_DIRECTION.md" TargetMode="External"/><Relationship Id="rIdHyperlink9" Type="http://schemas.openxmlformats.org/officeDocument/2006/relationships/hyperlink" Target="P10B_05_SITE_MAP_AND_PAGE_FAMILY_AUTHORITY.md" TargetMode="External"/><Relationship Id="rIdHyperlink10" Type="http://schemas.openxmlformats.org/officeDocument/2006/relationships/hyperlink" Target="P10B_06_COMMERCIAL_SHARED_FRAME_FAMILIES.md" TargetMode="External"/><Relationship Id="rIdHyperlink11" Type="http://schemas.openxmlformats.org/officeDocument/2006/relationships/hyperlink" Target="P10B_07_HERO_EDITORIAL_CAMPAIGN_PROOF_FAMILIES.md" TargetMode="External"/><Relationship Id="rIdHyperlink12" Type="http://schemas.openxmlformats.org/officeDocument/2006/relationships/hyperlink" Target="P10B_08_CANONICAL_PRODUCT_CARD_AND_MERCHANDISING.md" TargetMode="External"/><Relationship Id="rIdHyperlink13" Type="http://schemas.openxmlformats.org/officeDocument/2006/relationships/hyperlink" Target="P10B_09_COMMERCIAL_HOMEPAGE_PROFILE_LIBRARY.md" TargetMode="External"/><Relationship Id="rIdHyperlink14" Type="http://schemas.openxmlformats.org/officeDocument/2006/relationships/hyperlink" Target="P10B_12_CONTENT_AND_SUPPORT_PAGE_FAMILIES.md" TargetMode="External"/><Relationship Id="rIdHyperlink15" Type="http://schemas.openxmlformats.org/officeDocument/2006/relationships/hyperlink" Target="VESKO_OPENAPI_CONTRACT_AUDIT.md" TargetMode="External"/><Relationship Id="rIdHyperlink16"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4d5bbb77c8de2359934628f51a000ec5926ec2c007b1495cbe1ce2a301867b1a</vt:lpwstr>
  </property>
  <property fmtid="{D5CDD505-2E9C-101B-9397-08002B2CF9AE}" pid="4" name="ExporterVersion">
    <vt:lpwstr>1.1.0</vt:lpwstr>
  </property>
  <property fmtid="{D5CDD505-2E9C-101B-9397-08002B2CF9AE}" pid="5" name="DesignPreset">
    <vt:lpwstr>compact_reference_guide_landscape_checklist_override</vt:lpwstr>
  </property>
</Properties>
</file>