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P10B-09 homepage and P10B-12 content/support page-family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P10B-12 content and support page families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 xml:space="preserve">Establish fifteen structurally distinct content/support </w:t>
            </w:r>
            <w:r>
              <w:rPr>
                <w:rFonts w:ascii="Consolas" w:hAnsi="Consolas" w:cs="Consolas"/>
                <w:sz w:val="19"/>
                <w:szCs w:val="19"/>
              </w:rPr>
              <w:t>PageBlueprint</w:t>
            </w:r>
            <w:r>
              <w:rPr>
                <w:rFonts w:ascii="Calibri" w:hAnsi="Calibri" w:cs="Calibri"/>
              </w:rPr>
              <w:t xml:space="preserve"> profiles; resolve facts only from current approved brief evidence; preserve canonical page-family, locale, navigation, snapshot, save/reload, compiler, and renderer authority; and retain 61 zero-provider four-width Chromium checks.</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P10B-12 content and support page families are Baseline. P10B-10, P10B-11, and P10B-13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P10B-12 content/support pages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P10B-07 hero/editorial/campaign/proof authority is Baseline under </w:t>
      </w:r>
      <w:hyperlink r:id="rIdHyperlink13" w:history="1">
        <w:r>
          <w:rPr>
            <w:rFonts w:ascii="Calibri" w:hAnsi="Calibri" w:cs="Calibri"/>
            <w:color w:val="2E74B5"/>
            <w:u w:val="single"/>
          </w:rPr>
          <w:t>P10B_07_HERO_EDITORIAL_CAMPAIGN_PROOF_FAMILIES.md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xml:space="preserve">. P10B-09 homepage profiles are Baseline under </w:t>
      </w:r>
      <w:hyperlink r:id="rIdHyperlink15" w:history="1">
        <w:r>
          <w:rPr>
            <w:rFonts w:ascii="Calibri" w:hAnsi="Calibri" w:cs="Calibri"/>
            <w:color w:val="2E74B5"/>
            <w:u w:val="single"/>
          </w:rPr>
          <w:t>P10B_09_COMMERCIAL_HOMEPAGE_PROFILE_LIBRARY.md</w:t>
        </w:r>
      </w:hyperlink>
      <w:r>
        <w:rPr>
          <w:rFonts w:ascii="Calibri" w:hAnsi="Calibri" w:cs="Calibri"/>
        </w:rPr>
        <w:t xml:space="preserve">, and P10B-12 content/support pages are Baseline under </w:t>
      </w:r>
      <w:hyperlink r:id="rIdHyperlink16" w:history="1">
        <w:r>
          <w:rPr>
            <w:rFonts w:ascii="Calibri" w:hAnsi="Calibri" w:cs="Calibri"/>
            <w:color w:val="2E74B5"/>
            <w:u w:val="single"/>
          </w:rPr>
          <w:t>P10B_12_CONTENT_AND_SUPPORT_PAGE_FAMILIES.md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3"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P10B-12 content and support page-family authority</w:t>
      </w:r>
    </w:p>
    <w:p>
      <w:pPr>
        <w:pStyle w:val="Normal"/>
        <w:widowControl/>
      </w:pPr>
      <w:r>
        <w:rPr>
          <w:rFonts w:ascii="Calibri" w:hAnsi="Calibri" w:cs="Calibri"/>
        </w:rPr>
        <w:t xml:space="preserve">P10B-12 adds fifteen registered </w:t>
      </w:r>
      <w:r>
        <w:rPr>
          <w:rFonts w:ascii="Consolas" w:hAnsi="Consolas" w:cs="Consolas"/>
          <w:sz w:val="19"/>
          <w:szCs w:val="19"/>
        </w:rPr>
        <w:t>PageBlueprint</w:t>
      </w:r>
      <w:r>
        <w:rPr>
          <w:rFonts w:ascii="Calibri" w:hAnsi="Calibri" w:cs="Calibri"/>
        </w:rPr>
        <w:t xml:space="preserve"> profiles to the existing P10B-05 content/support families: two About, two Contact, two locations, two FAQ, one service, one policy, two generic, and three campaign/editorial compositions. The profiles select the existing P10B-05 page family, route, locale, navigation, and shared-frame authority; they do not introduce another page graph, CMS, recipe engine, fact registry, or snapshot type.</w:t>
      </w:r>
    </w:p>
    <w:p>
      <w:pPr>
        <w:pStyle w:val="Normal"/>
        <w:widowControl/>
      </w:pPr>
      <w:r>
        <w:rPr>
          <w:rFonts w:ascii="Calibri" w:hAnsi="Calibri" w:cs="Calibri"/>
        </w:rPr>
        <w:t>The only factual input is a strict localized content-support fact document resolved from the current approved Storefront Design Brief evidence identity. Caller declarations and body fields never authorize content. Evidence and family identity are rechecked at materialization, renderer, and compiler boundaries. Missing, stale, revoked, superseded, unapproved, mismatched, or malformed evidence fails closed. Required pages without approved facts fail; optional pages omit only through the P10B-05 registered policy. No policy, service, delivery, location, guarantee, certification, or compliance fact is invented.</w:t>
      </w:r>
    </w:p>
    <w:p>
      <w:pPr>
        <w:pStyle w:val="Normal"/>
        <w:widowControl/>
      </w:pPr>
      <w:r>
        <w:rPr>
          <w:rFonts w:ascii="Calibri" w:hAnsi="Calibri" w:cs="Calibri"/>
        </w:rPr>
        <w:t xml:space="preserve">The </w:t>
      </w:r>
      <w:r>
        <w:rPr>
          <w:rFonts w:ascii="Consolas" w:hAnsi="Consolas" w:cs="Consolas"/>
          <w:sz w:val="19"/>
          <w:szCs w:val="19"/>
        </w:rPr>
        <w:t>contentSupport</w:t>
      </w:r>
      <w:r>
        <w:rPr>
          <w:rFonts w:ascii="Calibri" w:hAnsi="Calibri" w:cs="Calibri"/>
        </w:rPr>
        <w:t xml:space="preserve"> component consumes P10B-03 anatomy/meaningful-variant authority and P10B-02 Design DNA through the existing render context. Profiles use P10B-06 frames and reuse P10B-07 editorial/campaign renderers. Approved media remains governed by existing P10B-04/P10B-07/P10B-08 authority and is omitted when unsupported; P10B-12 does not manufacture imagery or calls to action. Exact fact documents are retained in </w:t>
      </w:r>
      <w:r>
        <w:rPr>
          <w:rFonts w:ascii="Consolas" w:hAnsi="Consolas" w:cs="Consolas"/>
          <w:sz w:val="19"/>
          <w:szCs w:val="19"/>
        </w:rPr>
        <w:t>StorefrontSnapshot</w:t>
      </w:r>
      <w:r>
        <w:rPr>
          <w:rFonts w:ascii="Calibri" w:hAnsi="Calibri" w:cs="Calibri"/>
        </w:rPr>
        <w:t xml:space="preserve"> beside their bound sections and preserved through save/reload, deterministic publish compilation, and rendering. Deterministic and 61 zero-provider four-width Chromium checks establish profile, provenance, locale/navigation, protected-commerce, lifecycle, and semantic-renderer evidence. This is a family baseline, not P10B's final commercial quality gate.</w:t>
      </w:r>
    </w:p>
    <w:p>
      <w:pPr>
        <w:pStyle w:val="Heading2"/>
        <w:keepNext/>
        <w:widowControl/>
      </w:pPr>
      <w:r>
        <w:rPr>
          <w:rFonts w:ascii="Calibri" w:hAnsi="Calibri" w:cs="Calibri"/>
        </w:rPr>
        <w:t>10.13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10.12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7" w:history="1">
        <w:r>
          <w:rPr>
            <w:rFonts w:ascii="Calibri" w:hAnsi="Calibri" w:cs="Calibri"/>
            <w:color w:val="2E74B5"/>
            <w:u w:val="single"/>
          </w:rPr>
          <w:t>VESKO_OPENAPI_CONTRACT_AUDIT.md</w:t>
        </w:r>
      </w:hyperlink>
      <w:r>
        <w:rPr>
          <w:rFonts w:ascii="Calibri" w:hAnsi="Calibri" w:cs="Calibri"/>
        </w:rPr>
        <w:t xml:space="preserve"> and </w:t>
      </w:r>
      <w:hyperlink r:id="rIdHyperlink18"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P10B-09 and P10B-12 are Baseline; P10B-10, P10B-11, and P10B-13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9"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7_HERO_EDITORIAL_CAMPAIGN_PROOF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VESKO_OPENAPI_CONTRACT_AUDIT.md" TargetMode="External"/><Relationship Id="rIdHyperlink18" Type="http://schemas.openxmlformats.org/officeDocument/2006/relationships/hyperlink" Target="VESKO_VESKIFY_INTEGRATION_MATRIX.md" TargetMode="External"/><Relationship Id="rIdHyperlink19"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ffa46022e62e77f18436ccab33bb0ce21716504b0b51c35ecef0d4be75f9aba6</vt:lpwstr>
  </property>
  <property fmtid="{D5CDD505-2E9C-101B-9397-08002B2CF9AE}" pid="4" name="ExporterVersion">
    <vt:lpwstr>1.1.0</vt:lpwstr>
  </property>
  <property fmtid="{D5CDD505-2E9C-101B-9397-08002B2CF9AE}" pid="5" name="DesignPreset">
    <vt:lpwstr>compact_reference_guide</vt:lpwstr>
  </property>
</Properties>
</file>