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Effective upon explicit AR-03C acceptance/merge: AR-02A through AR-02H and AR-03A/AR-03B/AR-03C Baseline / closed; AR-02 and AR-03 Partial; AR-23 eligible / unstarted; BATCH-04 complete; BATCH-05 complete upon C merge and safe closeout; no next child selected</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explicit owner acceptance/merge of AR-03C:</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w:t>
      </w:r>
      <w:r>
        <w:rPr>
          <w:rFonts w:ascii="Calibri" w:hAnsi="Calibri" w:cs="Calibri"/>
        </w:rPr>
        <w:t xml:space="preserve"> AR-02G is </w:t>
      </w:r>
      <w:r>
        <w:rPr>
          <w:rFonts w:ascii="Calibri" w:hAnsi="Calibri" w:cs="Calibri"/>
          <w:b/>
          <w:bCs/>
        </w:rPr>
        <w:t>Baseline / closed.</w:t>
      </w:r>
      <w:r>
        <w:rPr>
          <w:rFonts w:ascii="Calibri" w:hAnsi="Calibri" w:cs="Calibri"/>
        </w:rPr>
        <w:t xml:space="preserve"> AR-02H is </w:t>
      </w:r>
      <w:r>
        <w:rPr>
          <w:rFonts w:ascii="Calibri" w:hAnsi="Calibri" w:cs="Calibri"/>
          <w:b/>
          <w:bCs/>
        </w:rPr>
        <w:t>Baseline / closed.</w:t>
      </w:r>
      <w:r>
        <w:rPr>
          <w:rFonts w:ascii="Calibri" w:hAnsi="Calibri" w:cs="Calibri"/>
        </w:rPr>
        <w:t xml:space="preserve"> AR-02 is </w:t>
      </w:r>
      <w:r>
        <w:rPr>
          <w:rFonts w:ascii="Calibri" w:hAnsi="Calibri" w:cs="Calibri"/>
          <w:b/>
          <w:bCs/>
        </w:rPr>
        <w:t>Partial</w:t>
      </w:r>
      <w:r>
        <w:rPr>
          <w:rFonts w:ascii="Calibri" w:hAnsi="Calibri" w:cs="Calibri"/>
        </w:rPr>
        <w:t xml:space="preserve">; remaining consumer/materializer isolation remains. AR-03 is </w:t>
      </w:r>
      <w:r>
        <w:rPr>
          <w:rFonts w:ascii="Calibri" w:hAnsi="Calibri" w:cs="Calibri"/>
          <w:b/>
          <w:bCs/>
        </w:rPr>
        <w:t>Partial</w:t>
      </w:r>
      <w:r>
        <w:rPr>
          <w:rFonts w:ascii="Calibri" w:hAnsi="Calibri" w:cs="Calibri"/>
        </w:rPr>
        <w:t xml:space="preserve">; runtime validation/projection/resolution are isolated; editor, migration, and expand/fold isolation remain. AR-03A is </w:t>
      </w:r>
      <w:r>
        <w:rPr>
          <w:rFonts w:ascii="Calibri" w:hAnsi="Calibri" w:cs="Calibri"/>
          <w:b/>
          <w:bCs/>
        </w:rPr>
        <w:t>Baseline / closed.</w:t>
      </w:r>
      <w:r>
        <w:rPr>
          <w:rFonts w:ascii="Calibri" w:hAnsi="Calibri" w:cs="Calibri"/>
        </w:rPr>
        <w:t xml:space="preserve"> AR-03B is </w:t>
      </w:r>
      <w:r>
        <w:rPr>
          <w:rFonts w:ascii="Calibri" w:hAnsi="Calibri" w:cs="Calibri"/>
          <w:b/>
          <w:bCs/>
        </w:rPr>
        <w:t>Baseline / closed.</w:t>
      </w:r>
      <w:r>
        <w:rPr>
          <w:rFonts w:ascii="Calibri" w:hAnsi="Calibri" w:cs="Calibri"/>
        </w:rPr>
        <w:t xml:space="preserve"> AR-03C is </w:t>
      </w:r>
      <w:r>
        <w:rPr>
          <w:rFonts w:ascii="Calibri" w:hAnsi="Calibri" w:cs="Calibri"/>
          <w:b/>
          <w:bCs/>
        </w:rPr>
        <w:t>Baseline / closed upon explicit owner acceptance/merge.</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is complete. BATCH-04 is complete. BATCH-05 is complete upon AR-03C acceptance/merge and safe closeout. No next reset task is selected. BATCH-05 selects no third task.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 effective on AR-03C acceptance/merge</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3" w:history="1">
              <w:r>
                <w:rPr>
                  <w:rFonts w:ascii="Calibri" w:hAnsi="Calibri" w:cs="Calibri"/>
                  <w:color w:val="2E74B5"/>
                  <w:u w:val="single"/>
                </w:rPr>
                <w:t>contract</w:t>
              </w:r>
            </w:hyperlink>
            <w:r>
              <w:rPr>
                <w:rFonts w:ascii="Calibri" w:hAnsi="Calibri" w:cs="Calibri"/>
              </w:rPr>
              <w:t xml:space="preserve">, </w:t>
            </w:r>
            <w:hyperlink r:id="rIdHyperlink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5" w:history="1">
              <w:r>
                <w:rPr>
                  <w:rFonts w:ascii="Calibri" w:hAnsi="Calibri" w:cs="Calibri"/>
                  <w:color w:val="2E74B5"/>
                  <w:u w:val="single"/>
                </w:rPr>
                <w:t>contract</w:t>
              </w:r>
            </w:hyperlink>
            <w:r>
              <w:rPr>
                <w:rFonts w:ascii="Calibri" w:hAnsi="Calibri" w:cs="Calibri"/>
              </w:rPr>
              <w:t xml:space="preserve">, </w:t>
            </w:r>
            <w:hyperlink r:id="rIdHyperlink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7" w:history="1">
              <w:r>
                <w:rPr>
                  <w:rFonts w:ascii="Calibri" w:hAnsi="Calibri" w:cs="Calibri"/>
                  <w:color w:val="2E74B5"/>
                  <w:u w:val="single"/>
                </w:rPr>
                <w:t>contract</w:t>
              </w:r>
            </w:hyperlink>
            <w:r>
              <w:rPr>
                <w:rFonts w:ascii="Calibri" w:hAnsi="Calibri" w:cs="Calibri"/>
              </w:rPr>
              <w:t xml:space="preserve">, </w:t>
            </w:r>
            <w:hyperlink r:id="rIdHyperlink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9" w:history="1">
              <w:r>
                <w:rPr>
                  <w:rFonts w:ascii="Calibri" w:hAnsi="Calibri" w:cs="Calibri"/>
                  <w:color w:val="2E74B5"/>
                  <w:u w:val="single"/>
                </w:rPr>
                <w:t>contract</w:t>
              </w:r>
            </w:hyperlink>
            <w:r>
              <w:rPr>
                <w:rFonts w:ascii="Calibri" w:hAnsi="Calibri" w:cs="Calibri"/>
              </w:rPr>
              <w:t xml:space="preserve">, </w:t>
            </w:r>
            <w:hyperlink r:id="rIdHyperlink1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1" w:history="1">
              <w:r>
                <w:rPr>
                  <w:rFonts w:ascii="Calibri" w:hAnsi="Calibri" w:cs="Calibri"/>
                  <w:color w:val="2E74B5"/>
                  <w:u w:val="single"/>
                </w:rPr>
                <w:t>contract</w:t>
              </w:r>
            </w:hyperlink>
            <w:r>
              <w:rPr>
                <w:rFonts w:ascii="Calibri" w:hAnsi="Calibri" w:cs="Calibri"/>
              </w:rPr>
              <w:t xml:space="preserve">, </w:t>
            </w:r>
            <w:hyperlink r:id="rIdHyperlink12"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3" w:history="1">
              <w:r>
                <w:rPr>
                  <w:rFonts w:ascii="Calibri" w:hAnsi="Calibri" w:cs="Calibri"/>
                  <w:color w:val="2E74B5"/>
                  <w:u w:val="single"/>
                </w:rPr>
                <w:t>contract</w:t>
              </w:r>
            </w:hyperlink>
            <w:r>
              <w:rPr>
                <w:rFonts w:ascii="Calibri" w:hAnsi="Calibri" w:cs="Calibri"/>
              </w:rPr>
              <w:t xml:space="preserve">, </w:t>
            </w:r>
            <w:hyperlink r:id="rIdHyperlink1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5" w:history="1">
              <w:r>
                <w:rPr>
                  <w:rFonts w:ascii="Calibri" w:hAnsi="Calibri" w:cs="Calibri"/>
                  <w:color w:val="2E74B5"/>
                  <w:u w:val="single"/>
                </w:rPr>
                <w:t>contract</w:t>
              </w:r>
            </w:hyperlink>
            <w:r>
              <w:rPr>
                <w:rFonts w:ascii="Calibri" w:hAnsi="Calibri" w:cs="Calibri"/>
              </w:rPr>
              <w:t xml:space="preserve">, </w:t>
            </w:r>
            <w:hyperlink r:id="rIdHyperlink1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AR-02G</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template capability boundary and explicit utility historical-source transition; </w:t>
            </w:r>
            <w:hyperlink r:id="rIdHyperlink17" w:history="1">
              <w:r>
                <w:rPr>
                  <w:rFonts w:ascii="Calibri" w:hAnsi="Calibri" w:cs="Calibri"/>
                  <w:color w:val="2E74B5"/>
                  <w:u w:val="single"/>
                </w:rPr>
                <w:t>contract</w:t>
              </w:r>
            </w:hyperlink>
            <w:r>
              <w:rPr>
                <w:rFonts w:ascii="Calibri" w:hAnsi="Calibri" w:cs="Calibri"/>
              </w:rPr>
              <w:t xml:space="preserve">, </w:t>
            </w:r>
            <w:hyperlink r:id="rIdHyperlink1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AR-02H</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Semantic request boundary and explicit direction historical-source transition; </w:t>
            </w:r>
            <w:hyperlink r:id="rIdHyperlink19" w:history="1">
              <w:r>
                <w:rPr>
                  <w:rFonts w:ascii="Calibri" w:hAnsi="Calibri" w:cs="Calibri"/>
                  <w:color w:val="2E74B5"/>
                  <w:u w:val="single"/>
                </w:rPr>
                <w:t>contract</w:t>
              </w:r>
            </w:hyperlink>
            <w:r>
              <w:rPr>
                <w:rFonts w:ascii="Calibri" w:hAnsi="Calibri" w:cs="Calibri"/>
              </w:rPr>
              <w:t xml:space="preserve">, </w:t>
            </w:r>
            <w:hyperlink r:id="rIdHyperlink2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AR-03B</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Renderer-free presentation construction and exact historical compatibility; </w:t>
            </w:r>
            <w:hyperlink r:id="rIdHyperlink21" w:history="1">
              <w:r>
                <w:rPr>
                  <w:rFonts w:ascii="Calibri" w:hAnsi="Calibri" w:cs="Calibri"/>
                  <w:color w:val="2E74B5"/>
                  <w:u w:val="single"/>
                </w:rPr>
                <w:t>contract</w:t>
              </w:r>
            </w:hyperlink>
            <w:r>
              <w:rPr>
                <w:rFonts w:ascii="Calibri" w:hAnsi="Calibri" w:cs="Calibri"/>
              </w:rPr>
              <w:t xml:space="preserve">, </w:t>
            </w:r>
            <w:hyperlink r:id="rIdHyperlink22"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AR-03C</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Current-authority validation, route projection/resolution and four preview import cutovers; </w:t>
            </w:r>
            <w:hyperlink r:id="rIdHyperlink23" w:history="1">
              <w:r>
                <w:rPr>
                  <w:rFonts w:ascii="Calibri" w:hAnsi="Calibri" w:cs="Calibri"/>
                  <w:color w:val="2E74B5"/>
                  <w:u w:val="single"/>
                </w:rPr>
                <w:t>contract</w:t>
              </w:r>
            </w:hyperlink>
            <w:r>
              <w:rPr>
                <w:rFonts w:ascii="Calibri" w:hAnsi="Calibri" w:cs="Calibri"/>
              </w:rPr>
              <w:t xml:space="preserve">, </w:t>
            </w:r>
            <w:hyperlink r:id="rIdHyperlink2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r>
              <w:rPr>
                <w:rFonts w:ascii="Calibri" w:hAnsi="Calibri" w:cs="Calibri"/>
              </w:rPr>
              <w:t xml:space="preserve"> upon acceptance/merge</w:t>
            </w:r>
          </w:p>
        </w:tc>
      </w:tr>
    </w:tbl>
    <w:p>
      <w:pPr>
        <w:pStyle w:val="Normal"/>
        <w:widowControl/>
      </w:pP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2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26"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27"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28"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29"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30"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31"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32"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33"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34"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35"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36"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37"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38"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39"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4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4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42"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43"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44"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27"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45"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45"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46" w:history="1">
        <w:r>
          <w:rPr>
            <w:rFonts w:ascii="Calibri" w:hAnsi="Calibri" w:cs="Calibri"/>
            <w:color w:val="2E74B5"/>
            <w:u w:val="single"/>
          </w:rPr>
          <w:t>VESKO_OPENAPI_CONTRACT_AUDIT.md</w:t>
        </w:r>
      </w:hyperlink>
      <w:r>
        <w:rPr>
          <w:rFonts w:ascii="Calibri" w:hAnsi="Calibri" w:cs="Calibri"/>
        </w:rPr>
        <w:t xml:space="preserve"> and </w:t>
      </w:r>
      <w:hyperlink r:id="rIdHyperlink47"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governance/task-contracts/AR/AR-02A.json" TargetMode="External"/><Relationship Id="rIdHyperlink4" Type="http://schemas.openxmlformats.org/officeDocument/2006/relationships/hyperlink" Target="AR_02A_IMPLEMENTATION_REPORT.md" TargetMode="External"/><Relationship Id="rIdHyperlink5" Type="http://schemas.openxmlformats.org/officeDocument/2006/relationships/hyperlink" Target="governance/task-contracts/AR/AR-02B.json" TargetMode="External"/><Relationship Id="rIdHyperlink6" Type="http://schemas.openxmlformats.org/officeDocument/2006/relationships/hyperlink" Target="AR_02B_IMPLEMENTATION_REPORT.md" TargetMode="External"/><Relationship Id="rIdHyperlink7" Type="http://schemas.openxmlformats.org/officeDocument/2006/relationships/hyperlink" Target="governance/task-contracts/AR/AR-03A.json" TargetMode="External"/><Relationship Id="rIdHyperlink8" Type="http://schemas.openxmlformats.org/officeDocument/2006/relationships/hyperlink" Target="AR_03A_IMPLEMENTATION_REPORT.md" TargetMode="External"/><Relationship Id="rIdHyperlink9" Type="http://schemas.openxmlformats.org/officeDocument/2006/relationships/hyperlink" Target="governance/task-contracts/AR/AR-02C.json" TargetMode="External"/><Relationship Id="rIdHyperlink10" Type="http://schemas.openxmlformats.org/officeDocument/2006/relationships/hyperlink" Target="AR_02C_IMPLEMENTATION_REPORT.md" TargetMode="External"/><Relationship Id="rIdHyperlink11" Type="http://schemas.openxmlformats.org/officeDocument/2006/relationships/hyperlink" Target="governance/task-contracts/AR/AR-02D.json" TargetMode="External"/><Relationship Id="rIdHyperlink12" Type="http://schemas.openxmlformats.org/officeDocument/2006/relationships/hyperlink" Target="AR_02D_IMPLEMENTATION_REPORT.md" TargetMode="External"/><Relationship Id="rIdHyperlink13" Type="http://schemas.openxmlformats.org/officeDocument/2006/relationships/hyperlink" Target="governance/task-contracts/AR/AR-02E.json" TargetMode="External"/><Relationship Id="rIdHyperlink14" Type="http://schemas.openxmlformats.org/officeDocument/2006/relationships/hyperlink" Target="AR_02E_IMPLEMENTATION_REPORT.md" TargetMode="External"/><Relationship Id="rIdHyperlink15" Type="http://schemas.openxmlformats.org/officeDocument/2006/relationships/hyperlink" Target="governance/task-contracts/AR/AR-02F.json" TargetMode="External"/><Relationship Id="rIdHyperlink16" Type="http://schemas.openxmlformats.org/officeDocument/2006/relationships/hyperlink" Target="AR_02F_IMPLEMENTATION_REPORT.md" TargetMode="External"/><Relationship Id="rIdHyperlink17" Type="http://schemas.openxmlformats.org/officeDocument/2006/relationships/hyperlink" Target="governance/task-contracts/AR/AR-02G.json" TargetMode="External"/><Relationship Id="rIdHyperlink18" Type="http://schemas.openxmlformats.org/officeDocument/2006/relationships/hyperlink" Target="AR_02G_IMPLEMENTATION_REPORT.md" TargetMode="External"/><Relationship Id="rIdHyperlink19" Type="http://schemas.openxmlformats.org/officeDocument/2006/relationships/hyperlink" Target="governance/task-contracts/AR/AR-02H.json" TargetMode="External"/><Relationship Id="rIdHyperlink20" Type="http://schemas.openxmlformats.org/officeDocument/2006/relationships/hyperlink" Target="AR_02H_IMPLEMENTATION_REPORT.md" TargetMode="External"/><Relationship Id="rIdHyperlink21" Type="http://schemas.openxmlformats.org/officeDocument/2006/relationships/hyperlink" Target="governance/task-contracts/AR/AR-03B.json" TargetMode="External"/><Relationship Id="rIdHyperlink22" Type="http://schemas.openxmlformats.org/officeDocument/2006/relationships/hyperlink" Target="AR_03B_IMPLEMENTATION_REPORT.md" TargetMode="External"/><Relationship Id="rIdHyperlink23" Type="http://schemas.openxmlformats.org/officeDocument/2006/relationships/hyperlink" Target="governance/task-contracts/AR/AR-03C.json" TargetMode="External"/><Relationship Id="rIdHyperlink24" Type="http://schemas.openxmlformats.org/officeDocument/2006/relationships/hyperlink" Target="AR_03C_IMPLEMENTATION_REPORT.md" TargetMode="External"/><Relationship Id="rIdHyperlink25" Type="http://schemas.openxmlformats.org/officeDocument/2006/relationships/hyperlink" Target="P10A_PHASE_CLOSURE.md" TargetMode="External"/><Relationship Id="rIdHyperlink26" Type="http://schemas.openxmlformats.org/officeDocument/2006/relationships/hyperlink" Target="P10B_COMMERCIAL_STOREFRONT_GENERATION_ARCHITECTURE.md" TargetMode="External"/><Relationship Id="rIdHyperlink27" Type="http://schemas.openxmlformats.org/officeDocument/2006/relationships/hyperlink" Target="P10B_16P_04_REAL_STUDIO_DESIGN_INTENT_ACCEPTANCE.md" TargetMode="External"/><Relationship Id="rIdHyperlink28" Type="http://schemas.openxmlformats.org/officeDocument/2006/relationships/hyperlink" Target="P10B_01_COMMERCIAL_DESIGN_GRAMMAR.md" TargetMode="External"/><Relationship Id="rIdHyperlink29" Type="http://schemas.openxmlformats.org/officeDocument/2006/relationships/hyperlink" Target="P10B_02_PARAMETRIC_BRAND_SYSTEM.md" TargetMode="External"/><Relationship Id="rIdHyperlink30" Type="http://schemas.openxmlformats.org/officeDocument/2006/relationships/hyperlink" Target="P10B_03_COMPONENT_ANATOMY_AND_MEANINGFUL_VARIANTS.md" TargetMode="External"/><Relationship Id="rIdHyperlink31" Type="http://schemas.openxmlformats.org/officeDocument/2006/relationships/hyperlink" Target="P10B_04_RESPONSIVE_IMAGE_ART_DIRECTION.md" TargetMode="External"/><Relationship Id="rIdHyperlink32" Type="http://schemas.openxmlformats.org/officeDocument/2006/relationships/hyperlink" Target="P10B_05_SITE_MAP_AND_PAGE_FAMILY_AUTHORITY.md" TargetMode="External"/><Relationship Id="rIdHyperlink33" Type="http://schemas.openxmlformats.org/officeDocument/2006/relationships/hyperlink" Target="P10B_06_COMMERCIAL_SHARED_FRAME_FAMILIES.md" TargetMode="External"/><Relationship Id="rIdHyperlink34" Type="http://schemas.openxmlformats.org/officeDocument/2006/relationships/hyperlink" Target="P10B_07_HERO_EDITORIAL_CAMPAIGN_PROOF_FAMILIES.md" TargetMode="External"/><Relationship Id="rIdHyperlink35" Type="http://schemas.openxmlformats.org/officeDocument/2006/relationships/hyperlink" Target="P10B_08_CANONICAL_PRODUCT_CARD_AND_MERCHANDISING.md" TargetMode="External"/><Relationship Id="rIdHyperlink36" Type="http://schemas.openxmlformats.org/officeDocument/2006/relationships/hyperlink" Target="P10B_09_COMMERCIAL_HOMEPAGE_PROFILE_LIBRARY.md" TargetMode="External"/><Relationship Id="rIdHyperlink37" Type="http://schemas.openxmlformats.org/officeDocument/2006/relationships/hyperlink" Target="P10B_10_COMMERCIAL_COLLECTION_SEARCH_PROFILES.md" TargetMode="External"/><Relationship Id="rIdHyperlink38" Type="http://schemas.openxmlformats.org/officeDocument/2006/relationships/hyperlink" Target="P10B_12_CONTENT_AND_SUPPORT_PAGE_FAMILIES.md" TargetMode="External"/><Relationship Id="rIdHyperlink39" Type="http://schemas.openxmlformats.org/officeDocument/2006/relationships/hyperlink" Target="P10B_13_COMMERCE_UTILITY_PRESENTATION_PAGES.md" TargetMode="External"/><Relationship Id="rIdHyperlink40" Type="http://schemas.openxmlformats.org/officeDocument/2006/relationships/hyperlink" Target="P10B_14_PREMIUM_EDITORIAL_COMPLETE_STOREFRONT_VERTICAL_SLICE.md" TargetMode="External"/><Relationship Id="rIdHyperlink41" Type="http://schemas.openxmlformats.org/officeDocument/2006/relationships/hyperlink" Target="P10B_15_BOUNDED_STOREFRONT_SYNTHESIS_AND_NARRATIVE_ENGINE.md" TargetMode="External"/><Relationship Id="rIdHyperlink42" Type="http://schemas.openxmlformats.org/officeDocument/2006/relationships/hyperlink" Target="P10B_16_COORDINATED_DIRECTIONS_AND_DIVERSITY_CONTROL.md" TargetMode="External"/><Relationship Id="rIdHyperlink43" Type="http://schemas.openxmlformats.org/officeDocument/2006/relationships/hyperlink" Target="P10B_16P_01_DYNAMIC_COMMERCE_ROUTE_ARCHETYPES.md" TargetMode="External"/><Relationship Id="rIdHyperlink44" Type="http://schemas.openxmlformats.org/officeDocument/2006/relationships/hyperlink" Target="P10B_16P_02_PROMPTED_STOREFRONT_DESIGN_PLAN_V2.md" TargetMode="External"/><Relationship Id="rIdHyperlink45" Type="http://schemas.openxmlformats.org/officeDocument/2006/relationships/hyperlink" Target="P10B_18_COMMERCIAL_QUALITY_AUDIT.md" TargetMode="External"/><Relationship Id="rIdHyperlink46" Type="http://schemas.openxmlformats.org/officeDocument/2006/relationships/hyperlink" Target="VESKO_OPENAPI_CONTRACT_AUDIT.md" TargetMode="External"/><Relationship Id="rIdHyperlink47"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588abd5bfc4c0ded4cbeca54ea2db6229e290648a96cd10e5ae3632827a671c6</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