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P10B-11 commercial PDP profile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P10B-11 commercial PDP profiles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P10B-11 commercial PDP profiles are Baseline. P10B-10 and P10B-12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and P10B-11 PDP profiles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P10B-11 commercial PDP profile authority</w:t>
      </w:r>
    </w:p>
    <w:p>
      <w:pPr>
        <w:pStyle w:val="Normal"/>
        <w:widowControl/>
      </w:pPr>
      <w:r>
        <w:rPr>
          <w:rFonts w:ascii="Calibri" w:hAnsi="Calibri" w:cs="Calibri"/>
        </w:rPr>
        <w:t xml:space="preserve">Four versioned executable PDP PageBlueprint profiles now select the existing </w:t>
      </w:r>
      <w:r>
        <w:rPr>
          <w:rFonts w:ascii="Consolas" w:hAnsi="Consolas" w:cs="Consolas"/>
          <w:sz w:val="19"/>
          <w:szCs w:val="19"/>
        </w:rPr>
        <w:t>dynamicProductDetail</w:t>
      </w:r>
      <w:r>
        <w:rPr>
          <w:rFonts w:ascii="Calibri" w:hAnsi="Calibri" w:cs="Calibri"/>
        </w:rPr>
        <w:t xml:space="preserve"> authority: </w:t>
      </w:r>
      <w:r>
        <w:rPr>
          <w:rFonts w:ascii="Consolas" w:hAnsi="Consolas" w:cs="Consolas"/>
          <w:sz w:val="19"/>
          <w:szCs w:val="19"/>
        </w:rPr>
        <w:t>pdp-standard-commerce</w:t>
      </w:r>
      <w:r>
        <w:rPr>
          <w:rFonts w:ascii="Calibri" w:hAnsi="Calibri" w:cs="Calibri"/>
        </w:rPr>
        <w:t xml:space="preserve">, </w:t>
      </w:r>
      <w:r>
        <w:rPr>
          <w:rFonts w:ascii="Consolas" w:hAnsi="Consolas" w:cs="Consolas"/>
          <w:sz w:val="19"/>
          <w:szCs w:val="19"/>
        </w:rPr>
        <w:t>pdp-high-consideration</w:t>
      </w:r>
      <w:r>
        <w:rPr>
          <w:rFonts w:ascii="Calibri" w:hAnsi="Calibri" w:cs="Calibri"/>
        </w:rPr>
        <w:t xml:space="preserve">, </w:t>
      </w:r>
      <w:r>
        <w:rPr>
          <w:rFonts w:ascii="Consolas" w:hAnsi="Consolas" w:cs="Consolas"/>
          <w:sz w:val="19"/>
          <w:szCs w:val="19"/>
        </w:rPr>
        <w:t>pdp-gallery-led</w:t>
      </w:r>
      <w:r>
        <w:rPr>
          <w:rFonts w:ascii="Calibri" w:hAnsi="Calibri" w:cs="Calibri"/>
        </w:rPr>
        <w:t xml:space="preserve">, and </w:t>
      </w:r>
      <w:r>
        <w:rPr>
          <w:rFonts w:ascii="Consolas" w:hAnsi="Consolas" w:cs="Consolas"/>
          <w:sz w:val="19"/>
          <w:szCs w:val="19"/>
        </w:rPr>
        <w:t>pdp-variant-led</w:t>
      </w:r>
      <w:r>
        <w:rPr>
          <w:rFonts w:ascii="Calibri" w:hAnsi="Calibri" w:cs="Calibri"/>
        </w:rPr>
        <w:t xml:space="preserve">. They are not product-type forks, a second product model, a second option engine, or a replacement PDP renderer. The canonical inheritance chain is </w:t>
      </w:r>
      <w:r>
        <w:rPr>
          <w:rFonts w:ascii="Consolas" w:hAnsi="Consolas" w:cs="Consolas"/>
          <w:sz w:val="19"/>
          <w:szCs w:val="19"/>
        </w:rPr>
        <w:t>BrandSystem / Design DNA → PageBlueprint → component anatomy / meaningful variant → bounded validated instance authority</w:t>
      </w:r>
      <w:r>
        <w:rPr>
          <w:rFonts w:ascii="Calibri" w:hAnsi="Calibri" w:cs="Calibri"/>
        </w:rPr>
        <w:t>.</w:t>
      </w:r>
    </w:p>
    <w:p>
      <w:pPr>
        <w:pStyle w:val="Normal"/>
        <w:widowControl/>
      </w:pPr>
      <w:r>
        <w:rPr>
          <w:rFonts w:ascii="Calibri" w:hAnsi="Calibri" w:cs="Calibri"/>
        </w:rPr>
        <w:t>Each profile has a deterministic structural signature and identity-bound fingerprint covering its dynamic PDP variant, purchase/media/information arrangement, related-product P10B-08 card anatomy, compatible/default shared-frame selection, governed responsive transformation, evidence posture, and narrowing Design DNA compatibility. Exact duplicates, shallow near-duplicates, stale fingerprints, stale versions, unsupported responsive transformations, frame incompatibility, and Design DNA broadening fail closed.</w:t>
      </w:r>
    </w:p>
    <w:p>
      <w:pPr>
        <w:pStyle w:val="Normal"/>
        <w:widowControl/>
      </w:pPr>
      <w:r>
        <w:rPr>
          <w:rFonts w:ascii="Calibri" w:hAnsi="Calibri" w:cs="Calibri"/>
        </w:rPr>
        <w:t>The standard profile retains a balanced gallery, identity/price, generic options, availability and purchase hierarchy. The high-consideration profile places approved specification, proof and service context before its separated purchase panel; factual supporting content must carry a current approved evidence reference and otherwise omits. The gallery-led profile gives canonical P10B-04 product media the first hierarchy while preserving title, resolved price, generic option state, availability and action. The variant-led profile makes generic configuration and purchase controls primary without specializing for a product type. All related products use the canonical P10B-08 renderer.</w:t>
      </w:r>
    </w:p>
    <w:p>
      <w:pPr>
        <w:pStyle w:val="Normal"/>
        <w:widowControl/>
      </w:pPr>
      <w:r>
        <w:rPr>
          <w:rFonts w:ascii="Calibri" w:hAnsi="Calibri" w:cs="Calibri"/>
        </w:rPr>
        <w:t xml:space="preserve">Canonical product identity, variants, option groups/values/dependencies, SKU, resolved price and compare-at price, availability, canonical product media, and related products remain read-only. The existing generic option resolver proves incomplete and unavailable states, resolved configuration, price, availability and media. Approved P10B-04 crop, focal, gallery, ratio and responsive treatment may vary; product media identity and lineage cannot be replaced. Deterministic tests cover profile registration, simple/configurable products, lifecycle/save/reload/publication, evidence, stale and incompatible profiles. Retained browser evidence covers all four profiles at 375, 768, 1024 and 1440 px. Details are in </w:t>
      </w:r>
      <w:hyperlink r:id="rIdHyperlink16" w:history="1">
        <w:r>
          <w:rPr>
            <w:rFonts w:ascii="Calibri" w:hAnsi="Calibri" w:cs="Calibri"/>
            <w:color w:val="2E74B5"/>
            <w:u w:val="single"/>
          </w:rPr>
          <w:t>P10B_11_COMMERCIAL_PDP_PROFILE_LIBRARY.md</w:t>
        </w:r>
      </w:hyperlink>
      <w:r>
        <w:rPr>
          <w:rFonts w:ascii="Calibri" w:hAnsi="Calibri" w:cs="Calibri"/>
        </w:rPr>
        <w:t>.</w:t>
      </w:r>
    </w:p>
    <w:p>
      <w:pPr>
        <w:pStyle w:val="Heading2"/>
        <w:keepNext/>
        <w:widowControl/>
      </w:pPr>
      <w:r>
        <w:rPr>
          <w:rFonts w:ascii="Calibri" w:hAnsi="Calibri" w:cs="Calibri"/>
        </w:rPr>
        <w:t>10.13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10.13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7" w:history="1">
        <w:r>
          <w:rPr>
            <w:rFonts w:ascii="Calibri" w:hAnsi="Calibri" w:cs="Calibri"/>
            <w:color w:val="2E74B5"/>
            <w:u w:val="single"/>
          </w:rPr>
          <w:t>VESKO_OPENAPI_CONTRACT_AUDIT.md</w:t>
        </w:r>
      </w:hyperlink>
      <w:r>
        <w:rPr>
          <w:rFonts w:ascii="Calibri" w:hAnsi="Calibri" w:cs="Calibri"/>
        </w:rPr>
        <w:t xml:space="preserve"> and </w:t>
      </w:r>
      <w:hyperlink r:id="rIdHyperlink1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P10B-09 and P10B-11 are Baseline; P10B-10 and P10B-12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1_COMMERCIAL_PDP_PROFILE_LIBRARY.md" TargetMode="External"/><Relationship Id="rIdHyperlink17" Type="http://schemas.openxmlformats.org/officeDocument/2006/relationships/hyperlink" Target="VESKO_OPENAPI_CONTRACT_AUDIT.md" TargetMode="External"/><Relationship Id="rIdHyperlink18" Type="http://schemas.openxmlformats.org/officeDocument/2006/relationships/hyperlink" Target="VESKO_VESKIFY_INTEGRATION_MATRIX.md" TargetMode="External"/><Relationship Id="rIdHyperlink1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373c34e4986fd2a1d6ab28c04142b2e9290de675d0a3755dbf782622d7662e9b</vt:lpwstr>
  </property>
  <property fmtid="{D5CDD505-2E9C-101B-9397-08002B2CF9AE}" pid="4" name="ExporterVersion">
    <vt:lpwstr>1.1.0</vt:lpwstr>
  </property>
  <property fmtid="{D5CDD505-2E9C-101B-9397-08002B2CF9AE}" pid="5" name="DesignPreset">
    <vt:lpwstr>compact_reference_guide</vt:lpwstr>
  </property>
</Properties>
</file>