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widowControl/>
      </w:pPr>
      <w:r>
        <w:rPr>
          <w:rFonts w:ascii="Calibri" w:hAnsi="Calibri" w:cs="Calibri"/>
        </w:rPr>
        <w:t>Veskify Development Delivery Tracker</w:t>
      </w:r>
    </w:p>
    <w:p>
      <w:pPr>
        <w:pStyle w:val="Subtitle"/>
        <w:jc w:val="center"/>
        <w:widowControl/>
      </w:pPr>
      <w:r>
        <w:rPr>
          <w:rFonts w:ascii="Calibri" w:hAnsi="Calibri" w:cs="Calibri"/>
        </w:rPr>
        <w:t>Version 1.3.0</w:t>
      </w:r>
    </w:p>
    <w:p>
      <w:pPr>
        <w:pStyle w:val="CoverMeta"/>
        <w:jc w:val="center"/>
        <w:widowControl/>
      </w:pPr>
      <w:r>
        <w:rPr>
          <w:rFonts w:ascii="Calibri" w:hAnsi="Calibri" w:cs="Calibri"/>
        </w:rPr>
        <w:t>Delivery status baseline: 6 August 2026</w:t>
      </w:r>
    </w:p>
    <w:p>
      <w:pPr>
        <w:pStyle w:val="CoverMeta"/>
        <w:jc w:val="center"/>
        <w:widowControl/>
      </w:pPr>
      <w:r>
        <w:rPr>
          <w:rFonts w:ascii="Calibri" w:hAnsi="Calibri" w:cs="Calibri"/>
        </w:rPr>
        <w:t>Overall product status: Partial</w:t>
      </w:r>
    </w:p>
    <w:p>
      <w:pPr>
        <w:pStyle w:val="CoverMeta"/>
        <w:jc w:val="center"/>
        <w:widowControl/>
      </w:pPr>
      <w:r>
        <w:rPr>
          <w:rFonts w:ascii="Calibri" w:hAnsi="Calibri" w:cs="Calibri"/>
        </w:rPr>
        <w:t>Active phase: P10A grounded orchestration and publishing closure</w:t>
      </w:r>
    </w:p>
    <w:p>
      <w:pPr>
        <w:pStyle w:val="CoverMeta"/>
        <w:jc w:val="center"/>
        <w:widowControl/>
      </w:pPr>
      <w:r>
        <w:rPr>
          <w:rFonts w:ascii="Calibri" w:hAnsi="Calibri" w:cs="Calibri"/>
        </w:rPr>
        <w:t>Authoritative source: docs/VESKIFY_DEVELOPMENT_DELIVERY_TRACKER.md</w:t>
      </w:r>
    </w:p>
    <w:p>
      <w:pPr>
        <w:pStyle w:val="Normal"/>
        <w:widowControl/>
      </w:pPr>
      <w:r>
        <w:br w:type="page"/>
      </w:r>
    </w:p>
    <w:p>
      <w:pPr>
        <w:pStyle w:val="Heading1"/>
        <w:keepNext/>
        <w:widowControl/>
      </w:pPr>
      <w:r>
        <w:rPr>
          <w:rFonts w:ascii="Calibri" w:hAnsi="Calibri" w:cs="Calibri"/>
        </w:rPr>
        <w:t>Document control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2600"/>
        <w:gridCol w:w="10360"/>
      </w:tblGrid>
      <w:tr>
        <w:trPr>
          <w:tblHeader/>
          <w:cantSplit/>
        </w:trPr>
        <w:tc>
          <w:tcPr>
            <w:tcW w:w="26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Field</w:t>
            </w:r>
          </w:p>
        </w:tc>
        <w:tc>
          <w:tcPr>
            <w:tcW w:w="1036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Value</w:t>
            </w:r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Version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1.3.0</w:t>
            </w:r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Baseline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 xml:space="preserve">6 August 2026, current </w:t>
            </w:r>
            <w:r>
              <w:rPr>
                <w:rFonts w:ascii="Consolas" w:hAnsi="Consolas" w:cs="Consolas"/>
                <w:sz w:val="19"/>
                <w:szCs w:val="19"/>
              </w:rPr>
              <w:t>main</w:t>
            </w:r>
            <w:r>
              <w:rPr>
                <w:rFonts w:ascii="Calibri" w:hAnsi="Calibri" w:cs="Calibri"/>
              </w:rPr>
              <w:t xml:space="preserve"> after PR #165</w:t>
            </w:r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Overall product status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  <w:b/>
                <w:bCs/>
              </w:rPr>
              <w:t>Partial</w:t>
            </w:r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Authoritative specification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hyperlink r:id="rIdHyperlink1" w:history="1">
              <w:r>
                <w:rPr>
                  <w:rFonts w:ascii="Calibri" w:hAnsi="Calibri" w:cs="Calibri"/>
                  <w:color w:val="2E74B5"/>
                  <w:u w:val="single"/>
                </w:rPr>
                <w:t>VESKIFY_SDD.md</w:t>
              </w:r>
            </w:hyperlink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Delivery order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hyperlink r:id="rIdHyperlink2" w:history="1">
              <w:r>
                <w:rPr>
                  <w:rFonts w:ascii="Calibri" w:hAnsi="Calibri" w:cs="Calibri"/>
                  <w:color w:val="2E74B5"/>
                  <w:u w:val="single"/>
                </w:rPr>
                <w:t>VESKIFY_DEVELOPMENT_ROADMAP.md</w:t>
              </w:r>
            </w:hyperlink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Checkbox rule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A checked box means the complete stated outcome and evidence gate are satisfied; an unchecked box means incomplete.</w:t>
            </w:r>
          </w:p>
        </w:tc>
      </w:tr>
    </w:tbl>
    <w:p>
      <w:pPr>
        <w:pStyle w:val="Normal"/>
        <w:widowControl/>
      </w:pPr>
    </w:p>
    <w:p>
      <w:pPr>
        <w:pStyle w:val="Normal"/>
        <w:widowControl/>
      </w:pPr>
      <w:r>
        <w:rPr>
          <w:rFonts w:ascii="Calibri" w:hAnsi="Calibri" w:cs="Calibri"/>
        </w:rPr>
        <w:t>Implementation status and evidence level are separate. A task is not done because a contract, test, or partial implementation exists. The checkbox changes only when the task's complete outcome and required evidence are accepted.</w:t>
      </w:r>
    </w:p>
    <w:p>
      <w:pPr>
        <w:pStyle w:val="Heading1"/>
        <w:keepNext/>
        <w:widowControl/>
      </w:pPr>
      <w:r>
        <w:rPr>
          <w:rFonts w:ascii="Calibri" w:hAnsi="Calibri" w:cs="Calibri"/>
        </w:rPr>
        <w:t>Overall phase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Grounded orchestration and publishing closure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Partial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orchestration and publishing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Phase 9 handoff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Controlled-provider where eligible; deterministic; integration; browser/E2E; retained publication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Commercial Storefront Design System v1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 closure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Capability chain; responsive browser/E2E; retained human commercial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Editing Experience v1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 commercial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Integration; browser/E2E; retained human commercial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P10D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Advanced media and registered interactive presentation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Relevant P10B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Contract; browser/E2E; accessibility; performance; fallback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Vesko Integration Readiness and Reference Adapter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 decisions; P10A and minimum P10C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Adapter conformance; browser/E2E; Vesko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Production hardening and pilot operations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platform/operations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 staging exit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Security; load; recovery; monitoring; controlled production pilot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P10A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P10A-07C-03R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Controlled real-provider acceptance completion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Provider acceptance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Explicit approval and eligible trusted OpenAI configuration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One initial case before one follow-up case; retained real-provider evidence; no retry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P10A-08B-02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Accepted-AI acceptance-to-receipt wiring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Baseline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Proposal/publishing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Existing acceptance, receipt, and gateway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Deterministic; integration; browser/E2E; stale/divergent/no-partial-write rejection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P10A-08C-02B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Atomic compiled publication and rollback closure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Publishing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P10A-08B-02 and deterministic compiler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Atomic artifact/version/history persistence; idempotency; rollback/republish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P10A-08D-02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Complete publication evidence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Publishing and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P10A-08C-02B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Gateway/compiler home, collection, PDP; failure; active version; rollback; zero-provider publication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P10A-09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 closure record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 architecture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Prior P10A closure tasks or explicit disposition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Accepted closure and evidence coverage record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P10B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Executable commercial vocabulary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 closure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Contract/schema and deterministic reachability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Semantic visual foundations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P10B-01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Contract, migration, renderer integration, responsive browser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P10B-03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Responsive image and art-direction authority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P10B-01, P10B-02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Contract, integration, responsive browser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P10B-04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Premium shared frame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P10B-02, P10B-03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Capability-chain and responsive human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P10B-05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Hero, editorial, campaign, and proof families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P10B-02, P10B-03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Proposal/compiler/render reachability and visual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P10B-06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Canonical product-card and merchandising system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commerce presentation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P10B-02, P10B-03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Commerce regression, capability chain, visual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P10B-07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Commercial collection profiles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P10B-04 through P10B-06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Materialization-to-render evidence and visual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P10B-08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Commercial PDP profiles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commerce presentation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P10B-04 through P10B-06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Dynamic-commerce regression and visual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P10B-09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Coordinated storefront directions v2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P10B-04 through P10B-08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Exact selection and complete-storefront differentiation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P10B-10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Narrative composition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generation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P10B-05 through P10B-09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Proposal/compiler/snapshot preservation and human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P10B-11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Responsive commercial closure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 through P10B-10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Browser matrix at 375, 768, 1024, 1440 px and accessibility checks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P10B-12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Commercial visual-quality gate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 owner, design system,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All prior P10B tasks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Retained screenshots and explicit human acceptance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P10C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Brand asset library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and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 asset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Contract, integration, browser/E2E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Asset roles and provenance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and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P10C-01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Assignment validation and browser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P10C-03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Canonical Puck boundary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 component/profile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Adapter conformance and save/reload preservation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P10C-04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Stable frame identity and selection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Frame/page scope integration and browser/E2E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P10C-05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Approved manual frame operations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P10C-02 through P10C-04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Positive/fail-closed integration, undo/redo, browser/E2E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P10C-06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Scoped AI editing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and design agent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P10C-03 through P10C-05; P10A authorities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Scope, ambiguity, and proposal lifecycle browser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P10C-07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Unified AI/manual history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and state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P10C-05, P10C-06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Mixed-operation atomicity, save/reload, undo/redo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P10C-08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Brand and asset editor with Studio shell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P10C-01 through P10C-07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UI states, responsive accessibility, browser/E2E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P10C-09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Studio commercial QA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 owner, Storefront Studio,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P10C-08 and P10B-12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Full select-to-publish browser chain and human review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P11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☑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P11-00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Vesko OpenAPI audit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Baseline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architecture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Obtained OpenAPI 3.0 document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 audit and integration matrix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Backend contract closure and ownership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Vesko platform decisions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Approved typed contracts and ownership record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Identity and store-context adapter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Auth/tenant adapter conformance and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P11-03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Catalogue and navigation projection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commerce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P11-01, P11-02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Read-only adapter conformance and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P11-04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Variant, option, price, availability and media conformance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commerce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Simple/configurable product conformance and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P11-05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Approved presentation-asset service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P11-01, P11-02, media ownership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Provenance, permissions, lifecycle,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P11-06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draft and history persistence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P11-01, P11-02, persistence/revision contract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Concurrency and canonical save/reload/restore in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P11-07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Accepted receipt and publication adapter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 closure; P11-01, P11-02, P11-06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Receipt/gateway/compiler/artifact conformance and staging publication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P11-08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Synchronization, revisions, errors and caching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P11-03 through P11-07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Conflict, retry, cache, and recovery integration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P11-09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Vesko staging conformance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 +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P11-02 through P11-08; minimum P10C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Browser/E2E and correlated Vesko staging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P11-10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Pilot readiness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 owner + Veskify/Vesko leads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P11-09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One real pilot with signed evidence and documented limitations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Task definitions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P10A — Grounded orchestration and publishing closure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P10A-07C-03R — Controlled real-provider acceptance completion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Execute exactly one eligible initial-generation case, then one follow-up-editing case, through the controlled real-provider boundary.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Explicit approval and eligible trusted OpenAI provider/model configuration.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Safe correlated real-provider evidence; initial succeeds before follow-up; no retry.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Provider redesign, synthetic success, retry, or merchant editor wiring.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P10A-08B-02 — Accepted-AI acceptance-to-receipt wiring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Authoritative proposal acceptance mints and persists the exact server-owned accepted-snapshot receipt, and the active publish gateway resolves it.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Baseline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Existing proposal acceptance, receipt repository, and publishing gateway.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Exact lineage, create-once persistence, manual/AI separation, stale and accept-then-undo rejection, and no partial write.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Browser-created receipt authority or fallback to manual publication.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P10A-08C-02B — Atomic compiled publication and rollback closure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Commit the compiled artifact, published snapshot, publication history, and active version atomically; preserve the existing live version on failure; restore to draft and change live state only through explicit republish.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P10A-08B-02 and the current deterministic publish compiler.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Deterministic identity, atomicity, idempotency, active-pointer safety, rollback, republish, and failure preservation.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second editable state model or copied commerce snapshot.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P10A-08D-02 — Complete publication evidence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Prove manual and accepted-AI compile/publish, exact homepage/collection/PDP rendering, failure atomicity, draft/published isolation, restore, and republish with zero provider calls during publication.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P10A-08C-02B.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Browser/E2E and retained manual evidence correlated to compiled version, including no-partial-write and zero-provider publication.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P10B commercial visual acceptance.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P10A-09 — Closure record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Synchronize evidence, limitations, README, SDD, roadmap, and exports and formally close P10A.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All remaining P10A tasks or explicit product-owner disposition.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Traceable closure record.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Merchant-facing routing, clarification, or scope controls; those belong to P10C.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P10B — Commercial Storefront Design System v1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P10B-01 — Executable commercial vocabulary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typography, layout, surface, media, component, and responsive vocabulary enforceable through existing authority without arbitrary CSS or a second token store.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P10A closure and accepted P10B audit/specification.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Contract/schema and deterministic runtime-queryability.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second vocabulary, registry, recipe, or token system.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P10B-02 — Semantic visual foundations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every storefront surface consume coherent typography, spacing, containers, surfaces, borders, radius, elevation, controls, and density.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P10B-01.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Schema/migration, renderer integration, responsive browser evidence.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Arbitrary CSS or direction-owned global tokens.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P10B-03 — Responsive image and art-direction authority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Give approved images bounded focal points, safe areas, crops, ratios, overlays, and responsive derivatives without replacing canonical product media.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P10B-01, P10B-02.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Provenance/role validation and responsive browser evidence.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Mutating Vesko media or unrestricted image generation.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P10B-04 — Premium shared frame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header, navigation, announcement, and footer systems commercially distinct and coherent across desktop/mobile and EN/FI.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P10B-02, P10B-03.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Full capability chain and human responsive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Merchant editor frame controls.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P10B-05 — Hero, editorial, campaign, and proof families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Provide meaningful registered first-impression, storytelling, promotion, and evidence-backed trust compositions without generic filler.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P10B-02, P10B-03.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Proposal-to-render reachability and retained visual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Invented claims, trust marks, certifications, or arbitrary sections.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P10B-06 — Canonical product-card and merchandising system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Establish one protected card authority with materially distinct editorial, dense, compact, and image-led merchandising across home, collection, and recommendations.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P10B-02, P10B-03.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Protected-commerce regression, capability chain, visual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Product, price, stock, variant, or availability ownership.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P10B-07 — Commercial collection profiles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editorial discovery, catalogue comparison, and campaign-led collection profiles differ materially in hierarchy, filters, child collections, density, and cards.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P10B-04 through P10B-06.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Exact materialization, proposal/compiler/snapshot/render preservation, human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second collection template engine.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P10B-08 — Commercial PDP profiles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standard, high-consideration, gallery-led, and variant-led PDPs provide distinct purchase experiences while preserving generic options and commerce truth.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P10B-04 through P10B-06.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Simple watch, complex ring, incomplete/unavailable selection, selected variant price/availability/media, fallback, and visual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Product-type-specific forks or copied commerce facts.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P10B-09 — Coordinated storefront directions v2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Premium Editorial, Modern Technical, and Minimal Commerce complete coordinated cross-page packages rather than colour-only themes.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P10B-04 through P10B-08.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Exact materialized component/variant matches and complete-storefront differentiation.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second token, recipe, PageBlueprint, or page authority.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P10B-10 — Narrative composition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Give pages coherent commercial narrative roles, visual weight, adjacency, and omission rules.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P10B-05 through P10B-09.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Governed proposal expression, compiler/snapshot preservation, human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Unverified merchant claims or free-form generated pages.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P10B-11 — Responsive commercial closure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Preserve deliberate hierarchy and usability for every direction at 375, 768, 1024, and 1440 px.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P10B-02 through P10B-10.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Complete browser matrix, accessibility checks, retained screenshots.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Desktop-only approval or isolated component snapshots.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P10B-12 — Commercial visual-quality gate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Establish that a serious retailer can publish the generated complete storefront without a designer rebuilding it.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All prior P10B tasks.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Correlated home, collection, simple PDP, configurable PDP, all directions, EN/FI, all target widths, credible assets, and explicit retained human acceptance with no generic starter-theme appearance.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Closure through schemas, test counts, placeholders, or automated screenshots alone.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P10C — Storefront Studio Editing Experience v1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P10C-01 — Brand asset library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Let merchants view and choose approved presentation assets in Storefront Studio.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 asset authority.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Contract, integration, browser/E2E.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Product-media replacement or generic DAM scope.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P10C-02 — Asset roles and provenance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Show and preserve role, source, approval, revision, and assignment authority.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P10C-01.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Valid assignment and stale/unknown/role-mismatch rejection.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Untyped uploads or hidden provenance.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P10C-03 — Canonical Puck boundary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Project registered canonical content into Puck and validate edits back into the same </w:t>
      </w:r>
      <w:r>
        <w:rPr>
          <w:rFonts w:ascii="Consolas" w:hAnsi="Consolas" w:cs="Consolas"/>
          <w:sz w:val="19"/>
          <w:szCs w:val="19"/>
        </w:rPr>
        <w:t>StorefrontSnapshot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 component/profile authority.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Adapter conformance and save/reload preservation.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Raw Puck persistence or a second page tree.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P10C-04 — Stable frame identity and selection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Select and edit one shared frame consistently from every page context.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Stable identity, scope, history, and browser behavior.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Duplicating frame state per page.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P10C-05 — Approved manual frame operations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Support bounded manual shared-frame add, remove, reorder, field, asset, and presentation operations.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P10C-02 through P10C-04.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Positive and fail-closed integration, undo/redo, browser/E2E.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Arbitrary code/CSS/components or commerce mutation.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P10C-06 — Scoped AI editing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Connect merchant routing, clarification, frame/page scope, and proposal review to the existing P10A governed authorities.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P10C-03 through P10C-05 and P10A internal router/packages.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Selected-section, frame, page, storefront, ambiguity, stale, and failure browser flows.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Rebuilding the router, packages, proposals, or provider boundary.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P10C-07 — Unified AI/manual history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Put manual and accepted AI operations into one atomic canonical undo/redo history.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P10C-05, P10C-06.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Mixed edits, undo/redo, save/reload, stale protection.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Puck-only or AI-only history.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P10C-08 — Brand and asset editor with Studio shell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Deliver the merchant shell subset required to operate assets, canvas, review, save, preview, and publish.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P10C-01 through P10C-07.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Default/loading/empty/error/stale/success/unsaved states, accessibility, responsive browser/E2E.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Full CMS or exposure of implementation internals.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P10C-09 — Studio commercial QA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Complete select frame → manual edit → bounded AI edit elsewhere → add/remove/reorder → undo/redo → save → preview → publish.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P10C-08 and P10B-12.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Complete browser/E2E chain and retained human commercial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Reopening P10B design-system scope.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P10D — Advanced media and registered interactive presentation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P10D — Governed advanced media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Add justified generated imagery, registered video, and registered GLTF/GLB/Three.js presentation with accessible, performant static fallbacks.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Relevant P10B component and asset authority.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Provenance, contract, browser/E2E, accessibility, performance, fallback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AI-generated implementation code or a dependency for the first commercial store, minimum editor, or Vesko pilot.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P11 — Vesko Integration Readiness and Reference Adapter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P11-00 — Vesko OpenAPI audit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Establish the real endpoint inventory, usable surfaces, incompatibilities, missing authority, and integration decisions.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Baseline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Obtained Vesko OpenAPI 3.0 contract.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obtained contract audit and integration matrix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</w:t>
      </w:r>
      <w:hyperlink r:id="rIdHyperlink3" w:history="1">
        <w:r>
          <w:rPr>
            <w:rFonts w:ascii="Calibri" w:hAnsi="Calibri" w:cs="Calibri"/>
            <w:color w:val="2E74B5"/>
            <w:u w:val="single"/>
          </w:rPr>
          <w:t>VESKO_OPENAPI_CONTRACT_AUDIT.md</w:t>
        </w:r>
      </w:hyperlink>
      <w:r>
        <w:rPr>
          <w:rFonts w:ascii="Calibri" w:hAnsi="Calibri" w:cs="Calibri"/>
        </w:rPr>
        <w:t xml:space="preserve"> and </w:t>
      </w:r>
      <w:hyperlink r:id="rIdHyperlink4" w:history="1">
        <w:r>
          <w:rPr>
            <w:rFonts w:ascii="Calibri" w:hAnsi="Calibri" w:cs="Calibri"/>
            <w:color w:val="2E74B5"/>
            <w:u w:val="single"/>
          </w:rPr>
          <w:t>VESKO_VESKIFY_INTEGRATION_MATRIX.md</w:t>
        </w:r>
      </w:hyperlink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Claiming that the contract is sufficient or that an adapter is implemented.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P11-01 — Backend contract closure and ownership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Agree security, tenant context, typed responses, revisions, errors, navigation, missing Veskify APIs, and ownership with Vesko backend owners.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Vesko platform decisions.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Approved contracts and ownership matrix.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Coding against inferred bodies or changing Veskify canonical models to raw API shapes.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P11-02 — Identity and store-context adapter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Resolve trusted tenant, store, user, permission, locale, subdomain, and custom-domain context.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P11-01.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Adapter conformance, authorization/tenant isolation, Vesko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Browser-submitted or global implicit store authority.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P11-03 — Catalogue and navigation projection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Map products, brands, categories/collections, product groups, merchandising order, and routes into one versioned read-only projection.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P11-01, P11-02.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Typed adapter conformance and staging reads.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Veskify catalogue/navigation writes.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P11-04 — Variant, option, price, availability and media conformance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Prove variants, options, price, availability, and media for simple and configurable products without apparel-specific frontend assumptions.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Simple watch, complex ring, missing/unknown states, and Vesko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Duplicating commerce resolution or mutating commerce facts.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P11-05 — Approved presentation-asset service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Give approved logo, campaign, and editorial assets typed identity, role, revision, approval, derivatives, and retention separate from canonical product media.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P11-01, P11-02, and Vesko media ownership decision.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Typed lifecycle, permissions, provenance, and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Overwriting product media or storing unapproved assets as canonical.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P11-06 — Storefront draft and history persistence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Persist authenticated tenant-scoped revisioned </w:t>
      </w:r>
      <w:r>
        <w:rPr>
          <w:rFonts w:ascii="Consolas" w:hAnsi="Consolas" w:cs="Consolas"/>
          <w:sz w:val="19"/>
          <w:szCs w:val="19"/>
        </w:rPr>
        <w:t>StorefrontSnapshot</w:t>
      </w:r>
      <w:r>
        <w:rPr>
          <w:rFonts w:ascii="Calibri" w:hAnsi="Calibri" w:cs="Calibri"/>
        </w:rPr>
        <w:t xml:space="preserve"> drafts, immutable history, and restore-to-draft.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P11-01, P11-02, and persistence/revision contract.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Adapter conformance, conflict behavior, save/reload/restore in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Raw </w:t>
      </w:r>
      <w:r>
        <w:rPr>
          <w:rFonts w:ascii="Consolas" w:hAnsi="Consolas" w:cs="Consolas"/>
          <w:sz w:val="19"/>
          <w:szCs w:val="19"/>
        </w:rPr>
        <w:t>/puck</w:t>
      </w:r>
      <w:r>
        <w:rPr>
          <w:rFonts w:ascii="Calibri" w:hAnsi="Calibri" w:cs="Calibri"/>
        </w:rPr>
        <w:t xml:space="preserve"> persistence.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P11-07 — Accepted receipt and publication adapter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Persist accepted authority, compiled artifacts, publication history, and active version through an authenticated idempotent transaction.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P10A closure, P11-01, P11-02, P11-06.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Receipt/gateway/compiler/artifact conformance and staging publication.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Browser publication, manual/AI authority collapse, or commerce writes.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P11-08 — Synchronization, revisions, errors and caching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Expose commerce/media revision and synchronization authority, typed stale/conflict errors, retry policy, and bounded caching.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P11-03 through P11-07.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Conflict, retry, cache, and recovery integration in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Silent last-write-wins or unbounded retry.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P11-09 — Vesko staging conformance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Complete Vesko identity/catalogue → Veskify projection → generate → edit → save → publish → render → change Vesko commerce → refresh without presentation corruption.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P11-02 through P11-08 and the minimum P10C editor.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Correlated browser/E2E and Vesko staging record.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Production readiness claim.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P11-10 — Pilot readiness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Prove one real pilot has onboarding, diagnostics, audit records, observability, recovery guidance, and documented limitations.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P11-09.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Signed pilot-readiness and operational handoff record.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Automatic production rollout.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P12 — Production hardening and pilot operations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P12 — Production and pilot closure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Establish authentication, tenant isolation, security, observability, performance, backup/recovery, deployment, incidents, and controlled pilot operations.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P11-10.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Security/load/recovery exercises, production telemetry, and controlled pilot evidence.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New design, editor, advanced-media, or commerce scope.</w:t>
      </w:r>
    </w:p>
    <w:sectPr>
      <w:footerReference w:type="default" r:id="rId4"/>
      <w:pgSz w:w="15840" w:h="12240" w:orient="landscape"/>
      <w:pgMar w:top="1440" w:right="1440" w:bottom="1440" w:left="1440" w:header="708" w:footer="708" w:gutter="0"/>
    </w:sectPr>
  </w:body>
</w:document>
</file>

<file path=word/footer1.xml><?xml version="1.0" encoding="utf-8"?>
<w:ftr xmlns:w="http://schemas.openxmlformats.org/wordprocessingml/2006/main">
  <w:p>
    <w:pPr>
      <w:pStyle w:val="Footer"/>
      <w:pBdr>
        <w:top w:val="single" w:sz="4" w:space="6" w:color="D8E0E8"/>
      </w:pBdr>
      <w:tabs>
        <w:tab w:val="right" w:pos="12960"/>
      </w:tabs>
    </w:pPr>
    <w:r>
      <w:rPr>
        <w:rFonts w:ascii="Calibri" w:hAnsi="Calibri" w:cs="Calibri"/>
      </w:rPr>
      <w:t>Veskify Delivery Tracker v1.3.0</w:t>
    </w:r>
    <w:r>
      <w:rPr>
        <w:rFonts w:ascii="Calibri" w:hAnsi="Calibri" w:cs="Calibri"/>
      </w:rPr>
      <w:t xml:space="preserve">	Page </w:t>
    </w:r>
    <w:fldSimple w:instr=" PAGE ">
      <w:r>
        <w:t>1</w:t>
      </w:r>
    </w:fldSimple>
    <w:r>
      <w:rPr>
        <w:rFonts w:ascii="Calibri" w:hAnsi="Calibri" w:cs="Calibri"/>
      </w:rPr>
      <w:t xml:space="preserve"> of </w:t>
    </w:r>
    <w:fldSimple w:instr=" NUMPAGES ">
      <w:r>
        <w:t>1</w:t>
      </w:r>
    </w:fldSimple>
  </w:p>
</w:ftr>
</file>

<file path=word/numbering.xml><?xml version="1.0" encoding="utf-8"?>
<w:numbering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</w:numbering>
</file>

<file path=word/settings.xml><?xml version="1.0" encoding="utf-8"?>
<w:settings xmlns:w="http://schemas.openxmlformats.org/wordprocessingml/2006/main"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color w:val="17212B"/>
      </w:rPr>
    </w:rPrDefault>
    <w:pPrDefault>
      <w:pPr>
        <w:spacing w:after="120" w:line="300" w:lineRule="auto"/>
        <w:widowControl/>
      </w:pPr>
    </w:pPrDefault>
  </w:docDefaults>
  <w:style w:type="paragraph" w:default="1" w:styleId="Normal">
    <w:name w:val="Normal"/>
    <w:qFormat/>
    <w:pPr>
      <w:spacing w:before="0" w:after="120" w:line="300" w:lineRule="auto"/>
      <w:widowControl/>
    </w:pPr>
    <w:rPr>
      <w:rFonts w:ascii="Calibri" w:hAnsi="Calibri" w:cs="Calibri"/>
      <w:sz w:val="22"/>
      <w:szCs w:val="22"/>
      <w:color w:val="17212B"/>
    </w:rPr>
  </w:style>
  <w:style w:type="paragraph" w:styleId="Title">
    <w:name w:val="Title"/>
    <w:basedOn w:val="Normal"/>
    <w:next w:val="Normal"/>
    <w:qFormat/>
    <w:pPr>
      <w:spacing w:before="2200" w:after="180"/>
      <w:jc w:val="center"/>
      <w:keepNext/>
    </w:pPr>
    <w:rPr>
      <w:rFonts w:ascii="Calibri" w:hAnsi="Calibri"/>
      <w:b/>
      <w:color w:val="17365D"/>
      <w:sz w:val="58"/>
      <w:szCs w:val="58"/>
    </w:rPr>
  </w:style>
  <w:style w:type="paragraph" w:styleId="Subtitle">
    <w:name w:val="Subtitle"/>
    <w:basedOn w:val="Normal"/>
    <w:next w:val="Normal"/>
    <w:pPr>
      <w:spacing w:after="120"/>
      <w:jc w:val="center"/>
    </w:pPr>
    <w:rPr>
      <w:rFonts w:ascii="Calibri" w:hAnsi="Calibri"/>
      <w:color w:val="4B6075"/>
      <w:sz w:val="28"/>
      <w:szCs w:val="28"/>
    </w:rPr>
  </w:style>
  <w:style w:type="paragraph" w:styleId="CoverMeta">
    <w:name w:val="Cover Metadata"/>
    <w:basedOn w:val="Normal"/>
    <w:next w:val="Normal"/>
    <w:pPr>
      <w:spacing w:before="40" w:after="40"/>
      <w:jc w:val="center"/>
    </w:pPr>
    <w:rPr>
      <w:rFonts w:ascii="Calibri" w:hAnsi="Calibri"/>
      <w:color w:val="607080"/>
      <w:sz w:val="20"/>
      <w:szCs w:val="20"/>
    </w:rPr>
  </w:style>
  <w:style w:type="paragraph" w:styleId="Heading1">
    <w:name w:val="heading 1"/>
    <w:basedOn w:val="Normal"/>
    <w:next w:val="Normal"/>
    <w:qFormat/>
    <w:uiPriority w:val="9"/>
    <w:pPr>
      <w:spacing w:before="360" w:after="200"/>
      <w:keepNext/>
      <w:keepLines/>
      <w:outlineLvl w:val="0"/>
    </w:pPr>
    <w:rPr>
      <w:rFonts w:ascii="Calibri" w:hAnsi="Calibri"/>
      <w:b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uiPriority w:val="9"/>
    <w:pPr>
      <w:spacing w:before="280" w:after="140"/>
      <w:keepNext/>
      <w:keepLines/>
      <w:outlineLvl w:val="1"/>
    </w:pPr>
    <w:rPr>
      <w:rFonts w:ascii="Calibri" w:hAnsi="Calibri"/>
      <w:b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uiPriority w:val="9"/>
    <w:pPr>
      <w:spacing w:before="200" w:after="100"/>
      <w:keepNext/>
      <w:keepLines/>
      <w:outlineLvl w:val="2"/>
    </w:pPr>
    <w:rPr>
      <w:rFonts w:ascii="Calibri" w:hAnsi="Calibri"/>
      <w:b/>
      <w:color w:val="1F4D78"/>
      <w:sz w:val="24"/>
      <w:szCs w:val="24"/>
    </w:rPr>
  </w:style>
  <w:style w:type="paragraph" w:styleId="Quote">
    <w:name w:val="Quote"/>
    <w:basedOn w:val="Normal"/>
    <w:next w:val="Normal"/>
    <w:pPr>
      <w:spacing w:before="120" w:after="160" w:line="300" w:lineRule="auto"/>
    </w:pPr>
    <w:rPr>
      <w:i/>
      <w:color w:val="274760"/>
    </w:rPr>
  </w:style>
  <w:style w:type="paragraph" w:styleId="CodeBlock">
    <w:name w:val="Code Block"/>
    <w:basedOn w:val="Normal"/>
    <w:next w:val="CodeBlock"/>
    <w:pPr>
      <w:spacing w:before="0" w:after="0" w:line="240" w:lineRule="auto"/>
      <w:keepLines/>
    </w:pPr>
    <w:rPr>
      <w:rFonts w:ascii="Consolas" w:hAnsi="Consolas"/>
      <w:sz w:val="19"/>
      <w:szCs w:val="19"/>
      <w:color w:val="24384B"/>
    </w:rPr>
  </w:style>
  <w:style w:type="paragraph" w:styleId="TableText">
    <w:name w:val="Table Text"/>
    <w:basedOn w:val="Normal"/>
    <w:pPr>
      <w:spacing w:before="0" w:after="0" w:line="240" w:lineRule="auto"/>
    </w:pPr>
    <w:rPr>
      <w:sz w:val="18"/>
      <w:szCs w:val="18"/>
    </w:rPr>
  </w:style>
  <w:style w:type="paragraph" w:styleId="CompactTableText">
    <w:name w:val="Compact Table Text"/>
    <w:basedOn w:val="TableText"/>
    <w:pPr>
      <w:spacing w:before="0" w:after="0" w:line="210" w:lineRule="auto"/>
    </w:pPr>
    <w:rPr>
      <w:sz w:val="15"/>
      <w:szCs w:val="15"/>
    </w:rPr>
  </w:style>
  <w:style w:type="paragraph" w:styleId="TraceabilityTableText">
    <w:name w:val="Traceability Table Text"/>
    <w:basedOn w:val="TableText"/>
    <w:pPr>
      <w:spacing w:before="0" w:after="0" w:line="220" w:lineRule="auto"/>
    </w:pPr>
    <w:rPr>
      <w:sz w:val="16"/>
      <w:szCs w:val="16"/>
    </w:rPr>
  </w:style>
  <w:style w:type="paragraph" w:styleId="TableHeader">
    <w:name w:val="Table Header"/>
    <w:basedOn w:val="TableText"/>
    <w:pPr>
      <w:spacing w:before="0" w:after="0" w:line="220" w:lineRule="auto"/>
      <w:keepLines/>
    </w:pPr>
    <w:rPr>
      <w:b/>
      <w:color w:val="17365D"/>
      <w:sz w:val="17"/>
      <w:szCs w:val="17"/>
    </w:rPr>
  </w:style>
  <w:style w:type="paragraph" w:styleId="Footer">
    <w:name w:val="Footer"/>
    <w:basedOn w:val="Normal"/>
    <w:pPr>
      <w:spacing w:before="0" w:after="0"/>
      <w:jc w:val="right"/>
    </w:pPr>
    <w:rPr>
      <w:color w:val="6B7785"/>
      <w:sz w:val="18"/>
      <w:szCs w:val="18"/>
    </w:rPr>
  </w:style>
  <w:style w:type="character" w:styleId="Hyperlink">
    <w:name w:val="Hyperlink"/>
    <w:uiPriority w:val="99"/>
    <w:unhideWhenUsed/>
    <w:rPr>
      <w:color w:val="2E74B5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oter" Target="footer1.xml"/><Relationship Id="rIdHyperlink1" Type="http://schemas.openxmlformats.org/officeDocument/2006/relationships/hyperlink" Target="VESKIFY_SDD.md" TargetMode="External"/><Relationship Id="rIdHyperlink2" Type="http://schemas.openxmlformats.org/officeDocument/2006/relationships/hyperlink" Target="VESKIFY_DEVELOPMENT_ROADMAP.md" TargetMode="External"/><Relationship Id="rIdHyperlink3" Type="http://schemas.openxmlformats.org/officeDocument/2006/relationships/hyperlink" Target="VESKO_OPENAPI_CONTRACT_AUDIT.md" TargetMode="External"/><Relationship Id="rIdHyperlink4" Type="http://schemas.openxmlformats.org/officeDocument/2006/relationships/hyperlink" Target="VESKO_VESKIFY_INTEGRATION_MATRIX.m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Veskify deterministic documentation exporter</Application>
  <AppVersion>1.1.0</AppVersion>
  <Company>Vesko Oy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Veskify Development Delivery Tracker</dc:title>
  <dc:subject>Version 1.3.0</dc:subject>
  <dc:creator>Vesko Oy</dc:creator>
  <dc:description>Synchronized deterministic export of docs/VESKIFY_DEVELOPMENT_DELIVERY_TRACKER.md</dc:description>
  <cp:revision>1</cp:revision>
  <dcterms:created xsi:type="dcterms:W3CDTF">2026-08-06T00:00:00Z</dcterms:created>
  <dcterms:modified xsi:type="dcterms:W3CDTF">2026-08-07T00:00:00Z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ourcePath">
    <vt:lpwstr>docs/VESKIFY_DEVELOPMENT_DELIVERY_TRACKER.md</vt:lpwstr>
  </property>
  <property fmtid="{D5CDD505-2E9C-101B-9397-08002B2CF9AE}" pid="3" name="SourceSha256">
    <vt:lpwstr>5ed9ebf80488fd92e9b2730d60d4cfa34fa1d19344b3fc722ad6ddf2ec7d52db</vt:lpwstr>
  </property>
  <property fmtid="{D5CDD505-2E9C-101B-9397-08002B2CF9AE}" pid="4" name="ExporterVersion">
    <vt:lpwstr>1.1.0</vt:lpwstr>
  </property>
  <property fmtid="{D5CDD505-2E9C-101B-9397-08002B2CF9AE}" pid="5" name="DesignPreset">
    <vt:lpwstr>compact_reference_guide_landscape_checklist_override</vt:lpwstr>
  </property>
</Properties>
</file>