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Fresh bounded live-provider complete-store evidence, exact lineage, protected truth, lifecycle and retained human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Accepted P10B-18D</w:t>
            </w:r>
          </w:p>
        </w:tc>
        <w:tc>
          <w:tcPr>
            <w:tcW w:w="2890" w:type="dxa"/>
            <w:vAlign w:val="center"/>
          </w:tcPr>
          <w:p>
            <w:pPr>
              <w:pStyle w:val="CompactTableText"/>
              <w:widowControl/>
            </w:pPr>
            <w:r>
              <w:rPr>
                <w:rFonts w:ascii="Calibri" w:hAnsi="Calibri" w:cs="Calibri"/>
              </w:rPr>
              <w:t>Lock structural-intelligence ownership and the P10B-19A-J sequence before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P10B-19A-J</w:t>
            </w:r>
          </w:p>
        </w:tc>
        <w:tc>
          <w:tcPr>
            <w:tcW w:w="2800" w:type="dxa"/>
            <w:vAlign w:val="center"/>
          </w:tcPr>
          <w:p>
            <w:pPr>
              <w:pStyle w:val="CompactTableText"/>
              <w:widowControl/>
            </w:pPr>
            <w:r>
              <w:rPr>
                <w:rFonts w:ascii="Calibri" w:hAnsi="Calibri" w:cs="Calibri"/>
              </w:rPr>
              <w:t>Structural Design Intelligence implementation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Ten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is the exact next product task, followed by P10B-19 PRE and planned P10B-19A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 and P10B remain Partial. P10B-18D is the exact next task, followed by P10B-19 PRE and planned P10B-19A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Prove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Done when:</w:t>
      </w:r>
      <w:r>
        <w:rPr>
          <w:rFonts w:ascii="Calibri" w:hAnsi="Calibri" w:cs="Calibri"/>
        </w:rPr>
        <w:t xml:space="preserve"> Bounded live-provider complete-store proposals preserve exact lineage, protected commerce/media, lifecycle and commercial human acceptance.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is the exact next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a3c25a733c13084936b823d588e782fa99f7019f05bb471afcea2acc139853e7</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