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15 August 2026</w:t>
      </w:r>
    </w:p>
    <w:p>
      <w:pPr>
        <w:pStyle w:val="CoverMeta"/>
        <w:jc w:val="center"/>
        <w:widowControl/>
      </w:pPr>
      <w:r>
        <w:rPr>
          <w:rFonts w:ascii="Calibri" w:hAnsi="Calibri" w:cs="Calibri"/>
        </w:rPr>
        <w:t>P10B-16P-05A active production-path and compiler rationalisation</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15 August 2026, P10B-16P-05A active production-path and compiler rationalisation</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and P10B-16P-05A active-path/compiler rationalisation are Baseline. P10B-16P-02 is Baseline; P10B-16P-05B final historical cleanup, P10B-17, and P10B-18 remain Planned. The canonical search query/results adapter is the next focused product task.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and P10B-16P-05A makes that semantic route and one coordinator/resolver/decision/executor chain the sole active initial-generation authority. The canonical search adapter, phase-wide responsive/performance, and 100+ quality/scale closure remain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archetype are registered presentation authority, but operational search materialization still requires an exact transient query/result projection from a first-class canonical adapter. Without it, search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but a first-class canonical search-result adapter is still absent: runtime search materialization requires exact transient query/result authority and otherwise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phase-wide responsive/accessibility/performance closure and P10B-18 repeated quality-and-scale gate remain next.</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registered route and presentation authority but fails closed pending an exact transient result adapter.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search adapter. That adapter is not yet available, so search fails closed rather than fabricating results or binding a collection. Catalogue size therefore changes route inventory, not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Search presentation may be listed, but runtime search remains fail closed without fabricating results or substituting collection data.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 Search presentation remains registered while execution stays fail closed.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 for deterministic A/B/C replay and acceptance evidence. P10B-16P-05B is Planned after P10B-18 for consumer-verified final historical cleanup. P10B remains Partial; the canonical search query/results adapter is the next focused product task, and P10B-17/P10B-18 remain Planned.</w:t>
      </w:r>
    </w:p>
    <w:p>
      <w:pPr>
        <w:pStyle w:val="Heading2"/>
        <w:keepNext/>
        <w:widowControl/>
      </w:pPr>
      <w:r>
        <w:rPr>
          <w:rFonts w:ascii="Calibri" w:hAnsi="Calibri" w:cs="Calibri"/>
        </w:rPr>
        <w:t>10.24 Remaining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10.25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6" w:history="1">
        <w:r>
          <w:rPr>
            <w:rFonts w:ascii="Calibri" w:hAnsi="Calibri" w:cs="Calibri"/>
            <w:color w:val="2E74B5"/>
            <w:u w:val="single"/>
          </w:rPr>
          <w:t>VESKO_OPENAPI_CONTRACT_AUDIT.md</w:t>
        </w:r>
      </w:hyperlink>
      <w:r>
        <w:rPr>
          <w:rFonts w:ascii="Calibri" w:hAnsi="Calibri" w:cs="Calibri"/>
        </w:rPr>
        <w:t xml:space="preserve"> and </w:t>
      </w:r>
      <w:hyperlink r:id="rIdHyperlink27"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P10B-16 and P10B-16P-01 through P10B-16P-05A are Baseline; P10B-16P-02 is Baseline; P10B-16P-05B, P10B-17, and P10B-18 remain Planned. The canonical search query/results adapter is the next focused product task.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8"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require exact transient query/result authority and fail closed when its canonical adapter is unavailable.</w:t>
            </w:r>
          </w:p>
        </w:tc>
        <w:tc>
          <w:tcPr>
            <w:tcW w:w="1250" w:type="dxa"/>
            <w:vAlign w:val="center"/>
          </w:tcPr>
          <w:p>
            <w:pPr>
              <w:pStyle w:val="TraceabilityTableText"/>
              <w:widowControl/>
            </w:pPr>
            <w:r>
              <w:rPr>
                <w:rFonts w:ascii="Calibri" w:hAnsi="Calibri" w:cs="Calibri"/>
              </w:rPr>
              <w:t>§§7.4, 10.18;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search fail-closed, and renderer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792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VESKO_OPENAPI_CONTRACT_AUDIT.md" TargetMode="External"/><Relationship Id="rIdHyperlink27" Type="http://schemas.openxmlformats.org/officeDocument/2006/relationships/hyperlink" Target="VESKO_VESKIFY_INTEGRATION_MATRIX.md" TargetMode="External"/><Relationship Id="rIdHyperlink28"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97f92226f7e6669b865d4a568fcba286683655f2dc8e39631e8a8e1c0747e3ae</vt:lpwstr>
  </property>
  <property fmtid="{D5CDD505-2E9C-101B-9397-08002B2CF9AE}" pid="4" name="ExporterVersion">
    <vt:lpwstr>1.1.0</vt:lpwstr>
  </property>
  <property fmtid="{D5CDD505-2E9C-101B-9397-08002B2CF9AE}" pid="5" name="DesignPreset">
    <vt:lpwstr>compact_reference_guide</vt:lpwstr>
  </property>
</Properties>
</file>