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1 September 2026, P10B-19A-06 PageBlueprint v2 omission, substitution and fallback contract Baseline</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1 September 2026, P10B-19A-06 PageBlueprint v2 omission, substitution and fallback contract Baseline</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Versioned family and PageBlueprint v2 contracts, registry, topology identity, deterministic selection, and v1 compatibility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Strict required-asset-role trigger coverage, safe optional omission and ordered whole-blueprint substitution references;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P10B-19A-07</w:t>
            </w:r>
          </w:p>
        </w:tc>
        <w:tc>
          <w:tcPr>
            <w:tcW w:w="2800" w:type="dxa"/>
            <w:vAlign w:val="center"/>
          </w:tcPr>
          <w:p>
            <w:pPr>
              <w:pStyle w:val="CompactTableText"/>
              <w:widowControl/>
            </w:pPr>
            <w:r>
              <w:rPr>
                <w:rFonts w:ascii="Calibri" w:hAnsi="Calibri" w:cs="Calibri"/>
              </w:rPr>
              <w:t>Inactive Family Registry and Candidate Fingerprints</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P10B-19A-01 through P10B-19A-06 merged</w:t>
            </w:r>
          </w:p>
        </w:tc>
        <w:tc>
          <w:tcPr>
            <w:tcW w:w="2890" w:type="dxa"/>
            <w:vAlign w:val="center"/>
          </w:tcPr>
          <w:p>
            <w:pPr>
              <w:pStyle w:val="CompactTableText"/>
              <w:widowControl/>
            </w:pPr>
            <w:r>
              <w:rPr>
                <w:rFonts w:ascii="Calibri" w:hAnsi="Calibri" w:cs="Calibri"/>
              </w:rPr>
              <w:t>Add inactive family registry and candidate fingerprints without beginning current selection or runtime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through P10B-19A-06 are Baseline, P10B-19A is Partial, and P10B-19A-07 - Inactive Family Registry and Candidate Fingerprints is the exact next implementation task.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8660"/>
      </w:tblGrid>
      <w:tr>
        <w:trPr>
          <w:tblHeader/>
          <w:cantSplit/>
        </w:trPr>
        <w:tc>
          <w:tcPr>
            <w:tcW w:w="3000" w:type="dxa"/>
            <w:vAlign w:val="center"/>
            <w:shd w:val="clear" w:fill="E8EEF5"/>
          </w:tcPr>
          <w:p>
            <w:pPr>
              <w:pStyle w:val="TableHeader"/>
              <w:jc w:val="center"/>
              <w:widowControl/>
            </w:pPr>
            <w:r>
              <w:rPr>
                <w:rFonts w:ascii="Calibri" w:hAnsi="Calibri" w:cs="Calibri"/>
              </w:rPr>
              <w:t>Order</w:t>
            </w:r>
          </w:p>
        </w:tc>
        <w:tc>
          <w:tcPr>
            <w:tcW w:w="1300" w:type="dxa"/>
            <w:vAlign w:val="center"/>
            <w:shd w:val="clear" w:fill="E8EEF5"/>
          </w:tcPr>
          <w:p>
            <w:pPr>
              <w:pStyle w:val="TableHeader"/>
              <w:jc w:val="center"/>
              <w:widowControl/>
            </w:pPr>
            <w:r>
              <w:rPr>
                <w:rFonts w:ascii="Calibri" w:hAnsi="Calibri" w:cs="Calibri"/>
              </w:rPr>
              <w:t>Child task</w:t>
            </w:r>
          </w:p>
        </w:tc>
        <w:tc>
          <w:tcPr>
            <w:tcW w:w="8660" w:type="dxa"/>
            <w:vAlign w:val="center"/>
            <w:shd w:val="clear" w:fill="E8EEF5"/>
          </w:tcPr>
          <w:p>
            <w:pPr>
              <w:pStyle w:val="TableHeader"/>
              <w:jc w:val="center"/>
              <w:widowControl/>
            </w:pPr>
            <w:r>
              <w:rPr>
                <w:rFonts w:ascii="Calibri" w:hAnsi="Calibri" w:cs="Calibri"/>
              </w:rPr>
              <w:t>Merge eligibility</w:t>
            </w:r>
          </w:p>
        </w:tc>
      </w:tr>
      <w:tr>
        <w:trPr>
          <w:cantSplit/>
        </w:trPr>
        <w:tc>
          <w:tcPr>
            <w:tcW w:w="3000" w:type="dxa"/>
            <w:vAlign w:val="center"/>
          </w:tcPr>
          <w:p>
            <w:pPr>
              <w:pStyle w:val="TableText"/>
              <w:widowControl/>
            </w:pPr>
            <w:r>
              <w:rPr>
                <w:rFonts w:ascii="Calibri" w:hAnsi="Calibri" w:cs="Calibri"/>
              </w:rPr>
              <w:t>1</w:t>
            </w:r>
          </w:p>
        </w:tc>
        <w:tc>
          <w:tcPr>
            <w:tcW w:w="1300" w:type="dxa"/>
            <w:vAlign w:val="center"/>
          </w:tcPr>
          <w:p>
            <w:pPr>
              <w:pStyle w:val="TableText"/>
              <w:widowControl/>
            </w:pPr>
            <w:r>
              <w:rPr>
                <w:rFonts w:ascii="Calibri" w:hAnsi="Calibri" w:cs="Calibri"/>
              </w:rPr>
              <w:t>P10B-19A-01 - Structural family identity, versions, lifecycle states and invariants</w:t>
            </w:r>
          </w:p>
        </w:tc>
        <w:tc>
          <w:tcPr>
            <w:tcW w:w="8660" w:type="dxa"/>
            <w:vAlign w:val="center"/>
          </w:tcPr>
          <w:p>
            <w:pPr>
              <w:pStyle w:val="TableText"/>
              <w:widowControl/>
            </w:pPr>
            <w:r>
              <w:rPr>
                <w:rFonts w:ascii="Calibri" w:hAnsi="Calibri" w:cs="Calibri"/>
              </w:rPr>
              <w:t>DEVX-01 closed</w:t>
            </w:r>
          </w:p>
        </w:tc>
      </w:tr>
      <w:tr>
        <w:trPr>
          <w:cantSplit/>
        </w:trPr>
        <w:tc>
          <w:tcPr>
            <w:tcW w:w="3000" w:type="dxa"/>
            <w:vAlign w:val="center"/>
          </w:tcPr>
          <w:p>
            <w:pPr>
              <w:pStyle w:val="TableText"/>
              <w:widowControl/>
            </w:pPr>
            <w:r>
              <w:rPr>
                <w:rFonts w:ascii="Calibri" w:hAnsi="Calibri" w:cs="Calibri"/>
              </w:rPr>
              <w:t>2</w:t>
            </w:r>
          </w:p>
        </w:tc>
        <w:tc>
          <w:tcPr>
            <w:tcW w:w="1300" w:type="dxa"/>
            <w:vAlign w:val="center"/>
          </w:tcPr>
          <w:p>
            <w:pPr>
              <w:pStyle w:val="TableText"/>
              <w:widowControl/>
            </w:pPr>
            <w:r>
              <w:rPr>
                <w:rFonts w:ascii="Calibri" w:hAnsi="Calibri" w:cs="Calibri"/>
              </w:rPr>
              <w:t>P10B-19A-02 - Cross-page structural relationship contract</w:t>
            </w:r>
          </w:p>
        </w:tc>
        <w:tc>
          <w:tcPr>
            <w:tcW w:w="8660" w:type="dxa"/>
            <w:vAlign w:val="center"/>
          </w:tcPr>
          <w:p>
            <w:pPr>
              <w:pStyle w:val="TableText"/>
              <w:widowControl/>
            </w:pPr>
            <w:r>
              <w:rPr>
                <w:rFonts w:ascii="Calibri" w:hAnsi="Calibri" w:cs="Calibri"/>
              </w:rPr>
              <w:t>A-01 merged</w:t>
            </w:r>
          </w:p>
        </w:tc>
      </w:tr>
      <w:tr>
        <w:trPr>
          <w:cantSplit/>
        </w:trPr>
        <w:tc>
          <w:tcPr>
            <w:tcW w:w="3000" w:type="dxa"/>
            <w:vAlign w:val="center"/>
          </w:tcPr>
          <w:p>
            <w:pPr>
              <w:pStyle w:val="TableText"/>
              <w:widowControl/>
            </w:pPr>
            <w:r>
              <w:rPr>
                <w:rFonts w:ascii="Calibri" w:hAnsi="Calibri" w:cs="Calibri"/>
              </w:rPr>
              <w:t>3</w:t>
            </w:r>
          </w:p>
        </w:tc>
        <w:tc>
          <w:tcPr>
            <w:tcW w:w="1300" w:type="dxa"/>
            <w:vAlign w:val="center"/>
          </w:tcPr>
          <w:p>
            <w:pPr>
              <w:pStyle w:val="TableText"/>
              <w:widowControl/>
            </w:pPr>
            <w:r>
              <w:rPr>
                <w:rFonts w:ascii="Calibri" w:hAnsi="Calibri" w:cs="Calibri"/>
              </w:rPr>
              <w:t>P10B-19A-03 - Required page structures, region graph and PageBlueprint v2 dispatch</w:t>
            </w:r>
          </w:p>
        </w:tc>
        <w:tc>
          <w:tcPr>
            <w:tcW w:w="8660" w:type="dxa"/>
            <w:vAlign w:val="center"/>
          </w:tcPr>
          <w:p>
            <w:pPr>
              <w:pStyle w:val="TableText"/>
              <w:widowControl/>
            </w:pPr>
            <w:r>
              <w:rPr>
                <w:rFonts w:ascii="Calibri" w:hAnsi="Calibri" w:cs="Calibri"/>
              </w:rPr>
              <w:t>A-02 merged</w:t>
            </w:r>
          </w:p>
        </w:tc>
      </w:tr>
      <w:tr>
        <w:trPr>
          <w:cantSplit/>
        </w:trPr>
        <w:tc>
          <w:tcPr>
            <w:tcW w:w="3000" w:type="dxa"/>
            <w:vAlign w:val="center"/>
          </w:tcPr>
          <w:p>
            <w:pPr>
              <w:pStyle w:val="TableText"/>
              <w:widowControl/>
            </w:pPr>
            <w:r>
              <w:rPr>
                <w:rFonts w:ascii="Calibri" w:hAnsi="Calibri" w:cs="Calibri"/>
              </w:rPr>
              <w:t>4</w:t>
            </w:r>
          </w:p>
        </w:tc>
        <w:tc>
          <w:tcPr>
            <w:tcW w:w="1300" w:type="dxa"/>
            <w:vAlign w:val="center"/>
          </w:tcPr>
          <w:p>
            <w:pPr>
              <w:pStyle w:val="TableText"/>
              <w:widowControl/>
            </w:pPr>
            <w:r>
              <w:rPr>
                <w:rFonts w:ascii="Calibri" w:hAnsi="Calibri" w:cs="Calibri"/>
              </w:rPr>
              <w:t>P10B-19A-04 - Asset-role contract</w:t>
            </w:r>
          </w:p>
        </w:tc>
        <w:tc>
          <w:tcPr>
            <w:tcW w:w="8660" w:type="dxa"/>
            <w:vAlign w:val="center"/>
          </w:tcPr>
          <w:p>
            <w:pPr>
              <w:pStyle w:val="TableText"/>
              <w:widowControl/>
            </w:pPr>
            <w:r>
              <w:rPr>
                <w:rFonts w:ascii="Calibri" w:hAnsi="Calibri" w:cs="Calibri"/>
              </w:rPr>
              <w:t>Declared A dependency merged</w:t>
            </w:r>
          </w:p>
        </w:tc>
      </w:tr>
      <w:tr>
        <w:trPr>
          <w:cantSplit/>
        </w:trPr>
        <w:tc>
          <w:tcPr>
            <w:tcW w:w="3000" w:type="dxa"/>
            <w:vAlign w:val="center"/>
          </w:tcPr>
          <w:p>
            <w:pPr>
              <w:pStyle w:val="TableText"/>
              <w:widowControl/>
            </w:pPr>
            <w:r>
              <w:rPr>
                <w:rFonts w:ascii="Calibri" w:hAnsi="Calibri" w:cs="Calibri"/>
              </w:rPr>
              <w:t>5</w:t>
            </w:r>
          </w:p>
        </w:tc>
        <w:tc>
          <w:tcPr>
            <w:tcW w:w="1300" w:type="dxa"/>
            <w:vAlign w:val="center"/>
          </w:tcPr>
          <w:p>
            <w:pPr>
              <w:pStyle w:val="TableText"/>
              <w:widowControl/>
            </w:pPr>
            <w:r>
              <w:rPr>
                <w:rFonts w:ascii="Calibri" w:hAnsi="Calibri" w:cs="Calibri"/>
              </w:rPr>
              <w:t>P10B-19A-05 - Responsive-rule contract</w:t>
            </w:r>
          </w:p>
        </w:tc>
        <w:tc>
          <w:tcPr>
            <w:tcW w:w="8660" w:type="dxa"/>
            <w:vAlign w:val="center"/>
          </w:tcPr>
          <w:p>
            <w:pPr>
              <w:pStyle w:val="TableText"/>
              <w:widowControl/>
            </w:pPr>
            <w:r>
              <w:rPr>
                <w:rFonts w:ascii="Calibri" w:hAnsi="Calibri" w:cs="Calibri"/>
              </w:rPr>
              <w:t>Declared A dependency merged</w:t>
            </w:r>
          </w:p>
        </w:tc>
      </w:tr>
      <w:tr>
        <w:trPr>
          <w:cantSplit/>
        </w:trPr>
        <w:tc>
          <w:tcPr>
            <w:tcW w:w="3000" w:type="dxa"/>
            <w:vAlign w:val="center"/>
          </w:tcPr>
          <w:p>
            <w:pPr>
              <w:pStyle w:val="TableText"/>
              <w:widowControl/>
            </w:pPr>
            <w:r>
              <w:rPr>
                <w:rFonts w:ascii="Calibri" w:hAnsi="Calibri" w:cs="Calibri"/>
              </w:rPr>
              <w:t>6</w:t>
            </w:r>
          </w:p>
        </w:tc>
        <w:tc>
          <w:tcPr>
            <w:tcW w:w="1300" w:type="dxa"/>
            <w:vAlign w:val="center"/>
          </w:tcPr>
          <w:p>
            <w:pPr>
              <w:pStyle w:val="TableText"/>
              <w:widowControl/>
            </w:pPr>
            <w:r>
              <w:rPr>
                <w:rFonts w:ascii="Calibri" w:hAnsi="Calibri" w:cs="Calibri"/>
              </w:rPr>
              <w:t>P10B-19A-06 - Omission, substitution and fallback contract</w:t>
            </w:r>
          </w:p>
        </w:tc>
        <w:tc>
          <w:tcPr>
            <w:tcW w:w="8660" w:type="dxa"/>
            <w:vAlign w:val="center"/>
          </w:tcPr>
          <w:p>
            <w:pPr>
              <w:pStyle w:val="TableText"/>
              <w:widowControl/>
            </w:pPr>
            <w:r>
              <w:rPr>
                <w:rFonts w:ascii="Calibri" w:hAnsi="Calibri" w:cs="Calibri"/>
              </w:rPr>
              <w:t>Declared A dependency merged</w:t>
            </w:r>
          </w:p>
        </w:tc>
      </w:tr>
      <w:tr>
        <w:trPr>
          <w:cantSplit/>
        </w:trPr>
        <w:tc>
          <w:tcPr>
            <w:tcW w:w="3000" w:type="dxa"/>
            <w:vAlign w:val="center"/>
          </w:tcPr>
          <w:p>
            <w:pPr>
              <w:pStyle w:val="TableText"/>
              <w:widowControl/>
            </w:pPr>
            <w:r>
              <w:rPr>
                <w:rFonts w:ascii="Calibri" w:hAnsi="Calibri" w:cs="Calibri"/>
              </w:rPr>
              <w:t>7</w:t>
            </w:r>
          </w:p>
        </w:tc>
        <w:tc>
          <w:tcPr>
            <w:tcW w:w="1300" w:type="dxa"/>
            <w:vAlign w:val="center"/>
          </w:tcPr>
          <w:p>
            <w:pPr>
              <w:pStyle w:val="TableText"/>
              <w:widowControl/>
            </w:pPr>
            <w:r>
              <w:rPr>
                <w:rFonts w:ascii="Calibri" w:hAnsi="Calibri" w:cs="Calibri"/>
              </w:rPr>
              <w:t>P10B-19A-07 - Inactive family registry and candidate fingerprints</w:t>
            </w:r>
          </w:p>
        </w:tc>
        <w:tc>
          <w:tcPr>
            <w:tcW w:w="8660" w:type="dxa"/>
            <w:vAlign w:val="center"/>
          </w:tcPr>
          <w:p>
            <w:pPr>
              <w:pStyle w:val="TableText"/>
              <w:widowControl/>
            </w:pPr>
            <w:r>
              <w:rPr>
                <w:rFonts w:ascii="Calibri" w:hAnsi="Calibri" w:cs="Calibri"/>
              </w:rPr>
              <w:t>A-01 through A-06 authority merged</w:t>
            </w:r>
          </w:p>
        </w:tc>
      </w:tr>
      <w:tr>
        <w:trPr>
          <w:cantSplit/>
        </w:trPr>
        <w:tc>
          <w:tcPr>
            <w:tcW w:w="3000" w:type="dxa"/>
            <w:vAlign w:val="center"/>
          </w:tcPr>
          <w:p>
            <w:pPr>
              <w:pStyle w:val="TableText"/>
              <w:widowControl/>
            </w:pPr>
            <w:r>
              <w:rPr>
                <w:rFonts w:ascii="Calibri" w:hAnsi="Calibri" w:cs="Calibri"/>
              </w:rPr>
              <w:t>8</w:t>
            </w:r>
          </w:p>
        </w:tc>
        <w:tc>
          <w:tcPr>
            <w:tcW w:w="1300" w:type="dxa"/>
            <w:vAlign w:val="center"/>
          </w:tcPr>
          <w:p>
            <w:pPr>
              <w:pStyle w:val="TableText"/>
              <w:widowControl/>
            </w:pPr>
            <w:r>
              <w:rPr>
                <w:rFonts w:ascii="Calibri" w:hAnsi="Calibri" w:cs="Calibri"/>
              </w:rPr>
              <w:t>P10B-19A-08 - Compatibility, deterministic selection and normalized topology identity</w:t>
            </w:r>
          </w:p>
        </w:tc>
        <w:tc>
          <w:tcPr>
            <w:tcW w:w="8660" w:type="dxa"/>
            <w:vAlign w:val="center"/>
          </w:tcPr>
          <w:p>
            <w:pPr>
              <w:pStyle w:val="TableText"/>
              <w:widowControl/>
            </w:pPr>
            <w:r>
              <w:rPr>
                <w:rFonts w:ascii="Calibri" w:hAnsi="Calibri" w:cs="Calibri"/>
              </w:rPr>
              <w:t>A-07 merged</w:t>
            </w:r>
          </w:p>
        </w:tc>
      </w:tr>
      <w:tr>
        <w:trPr>
          <w:cantSplit/>
        </w:trPr>
        <w:tc>
          <w:tcPr>
            <w:tcW w:w="3000" w:type="dxa"/>
            <w:vAlign w:val="center"/>
          </w:tcPr>
          <w:p>
            <w:pPr>
              <w:pStyle w:val="TableText"/>
              <w:widowControl/>
            </w:pPr>
            <w:r>
              <w:rPr>
                <w:rFonts w:ascii="Calibri" w:hAnsi="Calibri" w:cs="Calibri"/>
              </w:rPr>
              <w:t>9</w:t>
            </w:r>
          </w:p>
        </w:tc>
        <w:tc>
          <w:tcPr>
            <w:tcW w:w="1300" w:type="dxa"/>
            <w:vAlign w:val="center"/>
          </w:tcPr>
          <w:p>
            <w:pPr>
              <w:pStyle w:val="TableText"/>
              <w:widowControl/>
            </w:pPr>
            <w:r>
              <w:rPr>
                <w:rFonts w:ascii="Calibri" w:hAnsi="Calibri" w:cs="Calibri"/>
              </w:rPr>
              <w:t>P10B-19A-09 - v1 read/render/migration/publication compatibility</w:t>
            </w:r>
          </w:p>
        </w:tc>
        <w:tc>
          <w:tcPr>
            <w:tcW w:w="8660" w:type="dxa"/>
            <w:vAlign w:val="center"/>
          </w:tcPr>
          <w:p>
            <w:pPr>
              <w:pStyle w:val="TableText"/>
              <w:widowControl/>
            </w:pPr>
            <w:r>
              <w:rPr>
                <w:rFonts w:ascii="Calibri" w:hAnsi="Calibri" w:cs="Calibri"/>
              </w:rPr>
              <w:t>A-08 merged</w:t>
            </w:r>
          </w:p>
        </w:tc>
      </w:tr>
      <w:tr>
        <w:trPr>
          <w:cantSplit/>
        </w:trPr>
        <w:tc>
          <w:tcPr>
            <w:tcW w:w="3000" w:type="dxa"/>
            <w:vAlign w:val="center"/>
          </w:tcPr>
          <w:p>
            <w:pPr>
              <w:pStyle w:val="TableText"/>
              <w:widowControl/>
            </w:pPr>
            <w:r>
              <w:rPr>
                <w:rFonts w:ascii="Calibri" w:hAnsi="Calibri" w:cs="Calibri"/>
              </w:rPr>
              <w:t>10</w:t>
            </w:r>
          </w:p>
        </w:tc>
        <w:tc>
          <w:tcPr>
            <w:tcW w:w="1300" w:type="dxa"/>
            <w:vAlign w:val="center"/>
          </w:tcPr>
          <w:p>
            <w:pPr>
              <w:pStyle w:val="TableText"/>
              <w:widowControl/>
            </w:pPr>
            <w:r>
              <w:rPr>
                <w:rFonts w:ascii="Calibri" w:hAnsi="Calibri" w:cs="Calibri"/>
              </w:rPr>
              <w:t>P10B-19A-10 - Retained matrices, integration and P10B-19A closure</w:t>
            </w:r>
          </w:p>
        </w:tc>
        <w:tc>
          <w:tcPr>
            <w:tcW w:w="8660" w:type="dxa"/>
            <w:vAlign w:val="center"/>
          </w:tcPr>
          <w:p>
            <w:pPr>
              <w:pStyle w:val="TableText"/>
              <w:widowControl/>
            </w:pPr>
            <w:r>
              <w:rPr>
                <w:rFonts w:ascii="Calibri" w:hAnsi="Calibri" w:cs="Calibri"/>
              </w:rPr>
              <w:t>A-01 through A-09 merged</w:t>
            </w:r>
          </w:p>
        </w:tc>
      </w:tr>
    </w:tbl>
    <w:p>
      <w:pPr>
        <w:pStyle w:val="Normal"/>
        <w:widowControl/>
      </w:pPr>
    </w:p>
    <w:p>
      <w:pPr>
        <w:pStyle w:val="Normal"/>
        <w:widowControl/>
      </w:pPr>
      <w:r>
        <w:rPr>
          <w:rFonts w:ascii="Calibri" w:hAnsi="Calibri" w:cs="Calibri"/>
        </w:rPr>
        <w:t xml:space="preserve">P10B-19A-01 through P10B-19A-06 are </w:t>
      </w:r>
      <w:r>
        <w:rPr>
          <w:rFonts w:ascii="Calibri" w:hAnsi="Calibri" w:cs="Calibri"/>
          <w:b/>
          <w:bCs/>
        </w:rPr>
        <w:t>Baseline</w:t>
      </w:r>
      <w:r>
        <w:rPr>
          <w:rFonts w:ascii="Calibri" w:hAnsi="Calibri" w:cs="Calibri"/>
        </w:rPr>
        <w:t xml:space="preserve">, parent P10B-19A is </w:t>
      </w:r>
      <w:r>
        <w:rPr>
          <w:rFonts w:ascii="Calibri" w:hAnsi="Calibri" w:cs="Calibri"/>
          <w:b/>
          <w:bCs/>
        </w:rPr>
        <w:t>Partial</w:t>
      </w:r>
      <w:r>
        <w:rPr>
          <w:rFonts w:ascii="Calibri" w:hAnsi="Calibri" w:cs="Calibri"/>
        </w:rPr>
        <w:t xml:space="preserve">, and P10B-19A-07 - Inactive Family Registry and Candidate Fingerprints is the exact next implementation task. P10B-19A-06 adds one strict, deeply readonly PageBlueprint v2 omission, substitution and fallback companion at schema version </w:t>
      </w:r>
      <w:r>
        <w:rPr>
          <w:rFonts w:ascii="Consolas" w:hAnsi="Consolas" w:cs="Consolas"/>
          <w:sz w:val="19"/>
          <w:szCs w:val="19"/>
        </w:rPr>
        <w:t>1.0.0</w:t>
      </w:r>
      <w:r>
        <w:rPr>
          <w:rFonts w:ascii="Calibri" w:hAnsi="Calibri" w:cs="Calibri"/>
        </w:rPr>
        <w:t xml:space="preserve">. It composes the exact A-03 structural, A-04 asset-role and A-05 responsive identity; owns only </w:t>
      </w:r>
      <w:r>
        <w:rPr>
          <w:rFonts w:ascii="Consolas" w:hAnsi="Consolas" w:cs="Consolas"/>
          <w:sz w:val="19"/>
          <w:szCs w:val="19"/>
        </w:rPr>
        <w:t>required-asset-role-cardinality-unsatisfied</w:t>
      </w:r>
      <w:r>
        <w:rPr>
          <w:rFonts w:ascii="Calibri" w:hAnsi="Calibri" w:cs="Calibri"/>
        </w:rPr>
        <w:t xml:space="preserve">; covers every and only required-role region with one explicit </w:t>
      </w:r>
      <w:r>
        <w:rPr>
          <w:rFonts w:ascii="Consolas" w:hAnsi="Consolas" w:cs="Consolas"/>
          <w:sz w:val="19"/>
          <w:szCs w:val="19"/>
        </w:rPr>
        <w:t>omit-region</w:t>
      </w:r>
      <w:r>
        <w:rPr>
          <w:rFonts w:ascii="Calibri" w:hAnsi="Calibri" w:cs="Calibri"/>
        </w:rPr>
        <w:t xml:space="preserve"> or </w:t>
      </w:r>
      <w:r>
        <w:rPr>
          <w:rFonts w:ascii="Consolas" w:hAnsi="Consolas" w:cs="Consolas"/>
          <w:sz w:val="19"/>
          <w:szCs w:val="19"/>
        </w:rPr>
        <w:t>fail-closed</w:t>
      </w:r>
      <w:r>
        <w:rPr>
          <w:rFonts w:ascii="Calibri" w:hAnsi="Calibri" w:cs="Calibri"/>
        </w:rPr>
        <w:t xml:space="preserve"> terminal rule; and preserves up to eight whole-blueprint substitution references in declared priority order. Required regions cannot be omitted, and a bounded internal A-03 projection revalidates the maximum simultaneous optional omission without export, persistence or fingerprinting. It adds no availability, target lookup, compatibility, selection, execution, records, registry, persistence, rendering or current- generation consumer. P10B-19A-05 retains the strict responsive-rule companion;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Responsive and fallback authority remain unimplemented.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No registry, fingerprint, selection, PageBlueprint v2, rendering, or current-generation wiring exists yet.</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and P10B-19A is </w:t>
      </w:r>
      <w:r>
        <w:rPr>
          <w:rFonts w:ascii="Calibri" w:hAnsi="Calibri" w:cs="Calibri"/>
          <w:b/>
          <w:bCs/>
        </w:rPr>
        <w:t>Partial</w:t>
      </w:r>
      <w:r>
        <w:rPr>
          <w:rFonts w:ascii="Calibri" w:hAnsi="Calibri" w:cs="Calibri"/>
        </w:rPr>
        <w:t xml:space="preserve">; P10B-19A-01 through P10B-19A-06 are </w:t>
      </w:r>
      <w:r>
        <w:rPr>
          <w:rFonts w:ascii="Calibri" w:hAnsi="Calibri" w:cs="Calibri"/>
          <w:b/>
          <w:bCs/>
        </w:rPr>
        <w:t>Baseline</w:t>
      </w:r>
      <w:r>
        <w:rPr>
          <w:rFonts w:ascii="Calibri" w:hAnsi="Calibri" w:cs="Calibri"/>
        </w:rPr>
        <w:t xml:space="preserve">, and P10B-19A-07 is </w:t>
      </w:r>
      <w:r>
        <w:rPr>
          <w:rFonts w:ascii="Calibri" w:hAnsi="Calibri" w:cs="Calibri"/>
          <w:b/>
          <w:bCs/>
        </w:rPr>
        <w:t>Planned / exact next</w:t>
      </w:r>
      <w:r>
        <w:rPr>
          <w:rFonts w:ascii="Calibri" w:hAnsi="Calibri" w:cs="Calibri"/>
        </w:rPr>
        <w:t xml:space="preserve">.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P10B-19A-01 through P10B-19A-06 are Baseline, P10B-19A is Partial, and P10B-19A-07 - Inactive Family Registry and Candidate Fingerprints is the exact next implementation task, followed by planned P10B-19B through P10B-19J.</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P10B-19A-01 through P10B-19A-06 are Baseline, P10B-19A is Partial, and P10B-19A-07 - Inactive Family Registry and Candidate Fingerprints is the exact next implementation task, followed by planned P10B-19B through P10B-19J.</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and P10B-18B-04 are Baseline; parent P10B-18B is Partial and P10B-18C remains Planned.</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w:t>
      </w:r>
      <w:r>
        <w:rPr>
          <w:rFonts w:ascii="Consolas" w:hAnsi="Consolas" w:cs="Consolas"/>
          <w:sz w:val="19"/>
          <w:szCs w:val="19"/>
        </w:rPr>
        <w:t>P10B-19A - Structural Storefront Family Contract</w:t>
      </w:r>
      <w:r>
        <w:rPr>
          <w:rFonts w:ascii="Calibri" w:hAnsi="Calibri" w:cs="Calibri"/>
        </w:rPr>
        <w:t xml:space="preserve"> is Partial; P10B-19A-01 through P10B-19A-06 are Baseline, P10B-19A-07 - Inactive Family Registry and Candidate Fingerprints is the exact next implementation task, and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P10B-19A-01 through P10B-19A-06 are Baseline, P10B-19A is Partial, and P10B-19A-07 - Inactive Family Registry and Candidate Fingerprints is the exact next implementation task.</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Current</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Partial</w:t>
            </w:r>
          </w:p>
        </w:tc>
        <w:tc>
          <w:tcPr>
            <w:tcW w:w="8460" w:type="dxa"/>
            <w:vAlign w:val="center"/>
          </w:tcPr>
          <w:p>
            <w:pPr>
              <w:pStyle w:val="TableText"/>
              <w:widowControl/>
            </w:pPr>
            <w:r>
              <w:rPr>
                <w:rFonts w:ascii="Calibri" w:hAnsi="Calibri" w:cs="Calibri"/>
              </w:rPr>
              <w:t>Structural Storefront Family and PageBlueprint v2 contracts, registry, topology identity, deterministic selection, and v1 compatibility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Omission, substitution and fallback contract bound to required asset-role regions; zero records or production consumers</w:t>
            </w:r>
          </w:p>
        </w:tc>
      </w:tr>
      <w:tr>
        <w:trPr>
          <w:cantSplit/>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P10B-19A-07</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Inactive family registry and candidate fingerprints</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parent plan contains 73 bounded child tasks.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P10B-19A-06 = Baseline</w:t>
      </w:r>
    </w:p>
    <w:p>
      <w:pPr>
        <w:pStyle w:val="Normal"/>
        <w:numPr>
          <w:ilvl w:val="0"/>
          <w:numId w:val="1"/>
        </w:numPr>
        <w:widowControl/>
      </w:pPr>
      <w:r>
        <w:rPr>
          <w:rFonts w:ascii="Calibri" w:hAnsi="Calibri" w:cs="Calibri"/>
        </w:rPr>
        <w:t>P10B-19A = Partial</w:t>
      </w:r>
    </w:p>
    <w:p>
      <w:pPr>
        <w:pStyle w:val="Normal"/>
        <w:numPr>
          <w:ilvl w:val="0"/>
          <w:numId w:val="1"/>
        </w:numPr>
        <w:widowControl/>
      </w:pPr>
      <w:r>
        <w:rPr>
          <w:rFonts w:ascii="Calibri" w:hAnsi="Calibri" w:cs="Calibri"/>
        </w:rPr>
        <w:t>P10B-19A-07 = exact next implementation task</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P10B_18_COMMERCIAL_QUALITY_AUDIT.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12d6d5c6642946fdb08950a317aaa8a5d5bb092143a3ac669e6a1f20624dc0aa</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