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9 August 2026, P10B-11 commercial PDP profiles</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9 August 2026, P10B-11 commercial PDP profiles</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27 definitions/100 variants; structural, query, migration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24-view visual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commerce/intents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fingerprinted profiles, generic simple/configurable commerce, lifecycle and 16-view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Approved-fact provenance, localization, lifecycle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Search/cart/checkout/state/a11y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Complete page set, four widths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Determinism, compatibility, no-partial snapshot and repetition control</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Fingerprints, duplicate/near-duplicate and pairwise diversity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P10B-09 and P10B-11 are </w:t>
      </w:r>
      <w:r>
        <w:rPr>
          <w:rFonts w:ascii="Calibri" w:hAnsi="Calibri" w:cs="Calibri"/>
          <w:b/>
          <w:bCs/>
        </w:rPr>
        <w:t>Baseline</w:t>
      </w:r>
      <w:r>
        <w:rPr>
          <w:rFonts w:ascii="Calibri" w:hAnsi="Calibri" w:cs="Calibri"/>
        </w:rPr>
        <w:t xml:space="preserve">. P10B-10 and P10B-12 through P10B-18 remain </w:t>
      </w:r>
      <w:r>
        <w:rPr>
          <w:rFonts w:ascii="Calibri" w:hAnsi="Calibri" w:cs="Calibri"/>
          <w:b/>
          <w:bCs/>
        </w:rPr>
        <w:t>Planned</w:t>
      </w:r>
      <w:r>
        <w:rPr>
          <w:rFonts w:ascii="Calibri" w:hAnsi="Calibri" w:cs="Calibri"/>
        </w:rPr>
        <w:t>. The remaining Done conditions are implementation gates, not claims about the current repository.</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7"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8"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9"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0"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1"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2"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3"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fingerprinted PageBlueprint profiles select the existing generic </w:t>
      </w:r>
      <w:r>
        <w:rPr>
          <w:rFonts w:ascii="Consolas" w:hAnsi="Consolas" w:cs="Consolas"/>
          <w:sz w:val="19"/>
          <w:szCs w:val="19"/>
        </w:rPr>
        <w:t>dynamicProductDetail</w:t>
      </w:r>
      <w:r>
        <w:rPr>
          <w:rFonts w:ascii="Calibri" w:hAnsi="Calibri" w:cs="Calibri"/>
        </w:rPr>
        <w:t xml:space="preserve">: balanced standard commerce, approved-evidence high consideration, P10B-04 gallery-led, and configuration-led. Generic simple/configurable option resolution, canonical product media, P10B-08 related cards, shared-frame compatibility, save/reload and publication remain exact; sixteen browser captures cover 375/768/1024/1440 px. See </w:t>
      </w:r>
      <w:hyperlink r:id="rIdHyperlink14" w:history="1">
        <w:r>
          <w:rPr>
            <w:rFonts w:ascii="Calibri" w:hAnsi="Calibri" w:cs="Calibri"/>
            <w:color w:val="2E74B5"/>
            <w:u w:val="single"/>
          </w:rPr>
          <w:t>P10B_11_COMMERCIAL_PDP_PROFILE_LIBRARY.md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content/evidence, localization, navigation, and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Done when:</w:t>
      </w:r>
      <w:r>
        <w:rPr>
          <w:rFonts w:ascii="Calibri" w:hAnsi="Calibri" w:cs="Calibri"/>
        </w:rPr>
        <w:t xml:space="preserve"> Every named family has registered profiles and approved-fact provenance, localization, navigation reachability, omission/fallback, responsive output, snapshot preservation, and publication; major types have multiple compositions where commercially useful.</w:t>
      </w:r>
    </w:p>
    <w:p>
      <w:pPr>
        <w:pStyle w:val="Normal"/>
        <w:numPr>
          <w:ilvl w:val="0"/>
          <w:numId w:val="1"/>
        </w:numPr>
        <w:widowControl/>
      </w:pPr>
      <w:r>
        <w:rPr>
          <w:rFonts w:ascii="Calibri" w:hAnsi="Calibri" w:cs="Calibri"/>
          <w:b/>
          <w:bCs/>
        </w:rPr>
        <w:t>Fail closed:</w:t>
      </w:r>
      <w:r>
        <w:rPr>
          <w:rFonts w:ascii="Calibri" w:hAnsi="Calibri" w:cs="Calibri"/>
        </w:rPr>
        <w:t xml:space="preserve"> Fabricated locations, policies, certifications, guarantees, delivery, compliance, and service claims are rejected or omitted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Contract/profile, evidence/provenance, generation/lifecycle, localization, responsive/a11y,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Unrestricted CMS or legal-content generation.</w:t>
      </w:r>
    </w:p>
    <w:p>
      <w:pPr>
        <w:pStyle w:val="Heading3"/>
        <w:keepNext/>
        <w:widowControl/>
      </w:pPr>
      <w:r>
        <w:rPr>
          <w:rFonts w:ascii="Calibri" w:hAnsi="Calibri" w:cs="Calibri"/>
        </w:rPr>
        <w:t>P10B-13 — Commerce utility presentation pages</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Done when:</w:t>
      </w:r>
      <w:r>
        <w:rPr>
          <w:rFonts w:ascii="Calibri" w:hAnsi="Calibri" w:cs="Calibri"/>
        </w:rPr>
        <w:t xml:space="preserve"> Every state presents canonical facts/actions with coherent Design DNA/frame, useful empty/error behavior, complete page-set reachability, responsive accessibility, snapshot, and publication preservation.</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Done when:</w:t>
      </w:r>
      <w:r>
        <w:rPr>
          <w:rFonts w:ascii="Calibri" w:hAnsi="Calibri" w:cs="Calibri"/>
        </w:rPr>
        <w:t xml:space="preserve"> One approved brief with realistic commerce and credible assets generates shared frame, home, collection, simple/configurable PDP, About, Contact/locations, FAQ/service, and required utility/error states; navigation, EN/FI where supported, four widths, protected state, preview/publish, and retained human review pass.</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signed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Done when:</w:t>
      </w:r>
      <w:r>
        <w:rPr>
          <w:rFonts w:ascii="Calibri" w:hAnsi="Calibri" w:cs="Calibri"/>
        </w:rPr>
        <w:t xml:space="preserve"> Deterministic selection preserves cross-page identity, narrative adjacency/ cardinality, repetition limits, bindings/assets, and complete snapshot/lifecycle output for representative inputs.</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Selection/compatibility/unit, proposal/compiler/lifecycle integration, no-partial- write, deterministic fingerprint inputs, and complete-store browser evidence.</w:t>
      </w:r>
    </w:p>
    <w:p>
      <w:pPr>
        <w:pStyle w:val="Normal"/>
        <w:numPr>
          <w:ilvl w:val="0"/>
          <w:numId w:val="1"/>
        </w:numPr>
        <w:widowControl/>
      </w:pPr>
      <w:r>
        <w:rPr>
          <w:rFonts w:ascii="Calibri" w:hAnsi="Calibri" w:cs="Calibri"/>
          <w:b/>
          <w:bCs/>
        </w:rPr>
        <w:t>Non-goal:</w:t>
      </w:r>
      <w:r>
        <w:rPr>
          <w:rFonts w:ascii="Calibri" w:hAnsi="Calibri" w:cs="Calibri"/>
        </w:rPr>
        <w:t xml:space="preserve"> Arbitrary trees/styles or a second synthesis representation.</w:t>
      </w:r>
    </w:p>
    <w:p>
      <w:pPr>
        <w:pStyle w:val="Heading3"/>
        <w:keepNext/>
        <w:widowControl/>
      </w:pPr>
      <w:r>
        <w:rPr>
          <w:rFonts w:ascii="Calibri" w:hAnsi="Calibri" w:cs="Calibri"/>
        </w:rPr>
        <w:t>P10B-16 — Coordinated directions and diversity control</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Existing direction-selection authority plus deterministic storefront-design fingerprint/evaluation.</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 when:</w:t>
      </w:r>
      <w:r>
        <w:rPr>
          <w:rFonts w:ascii="Calibri" w:hAnsi="Calibri" w:cs="Calibri"/>
        </w:rPr>
        <w:t xml:space="preserve"> Fingerprints cover Design DNA, page set/profiles, frame, anatomies/variants, structural parameters, image posture, density/responsive posture, and narrative composition; exact and meaningful near duplicates fail, and pairwise stores differ materially beyond colour.</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Determinism, exact/near-duplicate fixtures, pairwise structural scoring, direction compatibility, complete-store generation, and representative visual evidence.</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Implemented commercial families/profiles/directions through P10B-16.</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15" w:history="1">
        <w:r>
          <w:rPr>
            <w:rFonts w:ascii="Calibri" w:hAnsi="Calibri" w:cs="Calibri"/>
            <w:color w:val="2E74B5"/>
            <w:u w:val="single"/>
          </w:rPr>
          <w:t>VESKO_OPENAPI_CONTRACT_AUDIT.md</w:t>
        </w:r>
      </w:hyperlink>
      <w:r>
        <w:rPr>
          <w:rFonts w:ascii="Calibri" w:hAnsi="Calibri" w:cs="Calibri"/>
        </w:rPr>
        <w:t xml:space="preserve"> and </w:t>
      </w:r>
      <w:hyperlink r:id="rIdHyperlink16"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 </w:t>
      </w: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2960"/>
      </w:tabs>
    </w:pPr>
    <w:r>
      <w:rPr>
        <w:rFonts w:ascii="Calibri" w:hAnsi="Calibri" w:cs="Calibri"/>
      </w:rPr>
      <w:t>Veskify Delivery Tracker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2_PARAMETRIC_BRAND_SYSTEM.md" TargetMode="External"/><Relationship Id="rIdHyperlink7" Type="http://schemas.openxmlformats.org/officeDocument/2006/relationships/hyperlink" Target="P10B_03_COMPONENT_ANATOMY_AND_MEANINGFUL_VARIANTS.md" TargetMode="External"/><Relationship Id="rIdHyperlink8" Type="http://schemas.openxmlformats.org/officeDocument/2006/relationships/hyperlink" Target="P10B_04_RESPONSIVE_IMAGE_ART_DIRECTION.md" TargetMode="External"/><Relationship Id="rIdHyperlink9" Type="http://schemas.openxmlformats.org/officeDocument/2006/relationships/hyperlink" Target="P10B_05_SITE_MAP_AND_PAGE_FAMILY_AUTHORITY.md" TargetMode="External"/><Relationship Id="rIdHyperlink10" Type="http://schemas.openxmlformats.org/officeDocument/2006/relationships/hyperlink" Target="P10B_06_COMMERCIAL_SHARED_FRAME_FAMILIES.md" TargetMode="External"/><Relationship Id="rIdHyperlink11" Type="http://schemas.openxmlformats.org/officeDocument/2006/relationships/hyperlink" Target="P10B_07_HERO_EDITORIAL_CAMPAIGN_PROOF_FAMILIES.md" TargetMode="External"/><Relationship Id="rIdHyperlink12" Type="http://schemas.openxmlformats.org/officeDocument/2006/relationships/hyperlink" Target="P10B_08_CANONICAL_PRODUCT_CARD_AND_MERCHANDISING.md" TargetMode="External"/><Relationship Id="rIdHyperlink13" Type="http://schemas.openxmlformats.org/officeDocument/2006/relationships/hyperlink" Target="P10B_09_COMMERCIAL_HOMEPAGE_PROFILE_LIBRARY.md" TargetMode="External"/><Relationship Id="rIdHyperlink14" Type="http://schemas.openxmlformats.org/officeDocument/2006/relationships/hyperlink" Target="P10B_11_COMMERCIAL_PDP_PROFILE_LIBRARY.md" TargetMode="External"/><Relationship Id="rIdHyperlink15" Type="http://schemas.openxmlformats.org/officeDocument/2006/relationships/hyperlink" Target="VESKO_OPENAPI_CONTRACT_AUDIT.md" TargetMode="External"/><Relationship Id="rIdHyperlink16"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fedbeb4638b9127351467427711feed829eae6cb82d0462e9f8d28345ccaf258</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