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is </w:t>
      </w:r>
      <w:r>
        <w:rPr>
          <w:rFonts w:ascii="Calibri" w:hAnsi="Calibri" w:cs="Calibri"/>
          <w:b/>
          <w:bCs/>
        </w:rPr>
        <w:t>Baseline</w:t>
      </w:r>
      <w:r>
        <w:rPr>
          <w:rFonts w:ascii="Calibri" w:hAnsi="Calibri" w:cs="Calibri"/>
        </w:rPr>
        <w:t xml:space="preserve"> / complete;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P10B-18C is the exact next product task after accepted and completed P10B-18B.</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and accepted P10B-18B-01, P10B-18B-06, P10B-18B-02, P10B-18B-03, P10B-18B-04 and P10B-18B-05 are Baseline. Parent P10B-18B is Baseline/complete; P10B-18 and P10B remain Partial. P10B-18C is the exact next task,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ce9b18d30924c96418c42c989bb6071d5636d361b35e69f7f46616286b8783ba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