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1"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The candidate status projection takes effect upon explicit owner acceptance/merge of AR-03D; it does not assert the PR's actual lifecycle or owner acceptance. AR-00 is Baseline / closed. AR-01 is Baseline / closed. AR-02A is Baseline / closed. AR-02B is Baseline / closed. AR-02C is Baseline / closed. AR-02D is Baseline / closed. AR-02E is Baseline / closed. AR-02F is Baseline / closed. AR-02G is Baseline / closed. AR-02H is Baseline / closed. AR-02 is Partial; remaining consumer and PageBlueprint materializer isolation remains. AR-03 is Partial; runtime validation/projection/resolution and authoring are isolated; migration and expand/fold isolation remain. AR-03A is Baseline / closed. AR-03B is Baseline / closed. AR-03C is Baseline / closed. AR-03D is Baseline / closed upon explicit owner acceptance/merge. AR-23 depends only on AR-01 and is not serialized behind visual work. AR-23 is eligible alongside later eligible work. AR-23 remains unstarted. BATCH-03 is complete. BATCH-04 is complete. BATCH-05 is complete. BATCH-06 continues with AR-03E after AR-03D merges and safe synchronization. AR-03E is the exact next selected child after AR-03D merges and safe synchronization. BATCH-06 selects no third task.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Normal"/>
        <w:widowControl/>
      </w:pPr>
      <w:r>
        <w:rPr>
          <w:rFonts w:ascii="Calibri" w:hAnsi="Calibri" w:cs="Calibri"/>
        </w:rPr>
        <w:t xml:space="preserve">The specifically owner-authorized AR-02G utility-profile and AR-02H direction-contract source transitions preserve original source bytes and historical hashes while verifying their fixed current successors and unchanged behavior. A test-only reader serves the verified archive only to explicitly historical aggregates; untransitioned paths retain current raw equality. This exception does not change historical inventories, accepted goldens or inactivity controls. See </w:t>
      </w:r>
      <w:hyperlink r:id="rIdHyperlink34" w:history="1">
        <w:r>
          <w:rPr>
            <w:rFonts w:ascii="Calibri" w:hAnsi="Calibri" w:cs="Calibri"/>
            <w:color w:val="2E74B5"/>
            <w:u w:val="single"/>
          </w:rPr>
          <w:t>BATCH-04</w:t>
        </w:r>
      </w:hyperlink>
      <w:r>
        <w:rPr>
          <w:rFonts w:ascii="Calibri" w:hAnsi="Calibri" w:cs="Calibri"/>
        </w:rPr>
        <w:t>.</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5"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Its exact schema is locked in AR-05 with the current domain owners. The design decision is fixed here:</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Feature work thereafter proceeds as vertical slices; each slice retires the obsolete path it replaces.</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BATCH_04_EXECUTION.md" TargetMode="External"/><Relationship Id="rIdHyperlink35" Type="http://schemas.openxmlformats.org/officeDocument/2006/relationships/hyperlink" Target="./AR_00_SOURCE_DISPOSITION_AND_ACCEPTANC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e9579166665892258d02ee40d9711d504480fd6be0141e1a1fdf3ebfe50347dd</vt:lpwstr>
  </property>
  <property fmtid="{D5CDD505-2E9C-101B-9397-08002B2CF9AE}" pid="4" name="ExporterVersion">
    <vt:lpwstr>1.1.2</vt:lpwstr>
  </property>
  <property fmtid="{D5CDD505-2E9C-101B-9397-08002B2CF9AE}" pid="5" name="DesignPreset">
    <vt:lpwstr>compact_reference_guide</vt:lpwstr>
  </property>
</Properties>
</file>