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8 August 2026, current main after merged PR #173</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 xml:space="preserve">8 August 2026, current </w:t>
            </w:r>
            <w:r>
              <w:rPr>
                <w:rFonts w:ascii="Consolas" w:hAnsi="Consolas" w:cs="Consolas"/>
                <w:sz w:val="19"/>
                <w:szCs w:val="19"/>
              </w:rPr>
              <w:t>main</w:t>
            </w:r>
            <w:r>
              <w:rPr>
                <w:rFonts w:ascii="Calibri" w:hAnsi="Calibri" w:cs="Calibri"/>
              </w:rPr>
              <w:t xml:space="preserve"> after PR #173</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Structural difference, queryability, renderer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Provenance/crop/fallback and four-width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Minimum frame/mobile/footer coverage and responsive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Minimum anatomy coverage, provenance,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Five anatomies, protected commerce,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and P10B-05 are </w:t>
      </w:r>
      <w:r>
        <w:rPr>
          <w:rFonts w:ascii="Calibri" w:hAnsi="Calibri" w:cs="Calibri"/>
          <w:b/>
          <w:bCs/>
        </w:rPr>
        <w:t>Baseline</w:t>
      </w:r>
      <w:r>
        <w:rPr>
          <w:rFonts w:ascii="Calibri" w:hAnsi="Calibri" w:cs="Calibri"/>
        </w:rPr>
        <w:t xml:space="preserve">. P10B-02 through P10B-04 and P10B-06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Heading3"/>
        <w:keepNext/>
        <w:widowControl/>
      </w:pPr>
      <w:r>
        <w:rPr>
          <w:rFonts w:ascii="Calibri" w:hAnsi="Calibri" w:cs="Calibri"/>
        </w:rPr>
        <w:t>P10B-08 — Canonical product-card and merchandising family</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7" w:history="1">
        <w:r>
          <w:rPr>
            <w:rFonts w:ascii="Calibri" w:hAnsi="Calibri" w:cs="Calibri"/>
            <w:color w:val="2E74B5"/>
            <w:u w:val="single"/>
          </w:rPr>
          <w:t>VESKO_OPENAPI_CONTRACT_AUDIT.md</w:t>
        </w:r>
      </w:hyperlink>
      <w:r>
        <w:rPr>
          <w:rFonts w:ascii="Calibri" w:hAnsi="Calibri" w:cs="Calibri"/>
        </w:rPr>
        <w:t xml:space="preserve"> and </w:t>
      </w:r>
      <w:hyperlink r:id="rIdHyperlink8"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onboarding, diagnostics, audit records, observability, recovery guidance,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Heading3"/>
        <w:keepNext/>
        <w:widowControl/>
      </w:pPr>
      <w:r>
        <w:rPr>
          <w:rFonts w:ascii="Calibri" w:hAnsi="Calibri" w:cs="Calibri"/>
        </w:rPr>
        <w:t>P12 — Production and pilot closure</w:t>
      </w:r>
    </w:p>
    <w:p>
      <w:pPr>
        <w:pStyle w:val="Normal"/>
        <w:numPr>
          <w:ilvl w:val="0"/>
          <w:numId w:val="1"/>
        </w:numPr>
        <w:widowControl/>
      </w:pPr>
      <w:r>
        <w:rPr>
          <w:rFonts w:ascii="Calibri" w:hAnsi="Calibri" w:cs="Calibri"/>
          <w:b/>
          <w:bCs/>
        </w:rPr>
        <w:t>Outcome:</w:t>
      </w:r>
      <w:r>
        <w:rPr>
          <w:rFonts w:ascii="Calibri" w:hAnsi="Calibri" w:cs="Calibri"/>
        </w:rPr>
        <w:t xml:space="preserve"> Establish authentication, tenant isolation, security, observability, performance, backup/recovery, deployment, incidents, and controlled 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Security/load/recovery exercises, production telemetry, and controlled 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5_SITE_MAP_AND_PAGE_FAMILY_AUTHORITY.md" TargetMode="External"/><Relationship Id="rIdHyperlink7" Type="http://schemas.openxmlformats.org/officeDocument/2006/relationships/hyperlink" Target="VESKO_OPENAPI_CONTRACT_AUDIT.md" TargetMode="External"/><Relationship Id="rIdHyperlink8"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386dc4316731f40114c88ef104fff3c0c62ac6b0fed9e753b0a40754932edf98</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