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#173</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#173</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and P10B-05 site-map/page-family authority are Baseline, while P10B-02 through P10B-04 and P10B-06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and P10B-05 page-set authority are Baseline; commercial anatomy, rendering quality, and diversity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P10B-05 is also Baseline; its registered page-set evidence is recorded in </w:t>
      </w:r>
      <w:hyperlink r:id="rIdHyperlink8" w:history="1">
        <w:r>
          <w:rPr>
            <w:rFonts w:ascii="Calibri" w:hAnsi="Calibri" w:cs="Calibri"/>
            <w:color w:val="2E74B5"/>
            <w:u w:val="single"/>
          </w:rPr>
          <w:t>P10B_05_SITE_MAP_AND_PAGE_FAMILY_AUTHORITY.md</w:t>
        </w:r>
      </w:hyperlink>
      <w:r>
        <w:rPr>
          <w:rFonts w:ascii="Calibri" w:hAnsi="Calibri" w:cs="Calibri"/>
        </w:rPr>
        <w:t>. P10B-02 and P10B-03 remain the parallel Planned foundations under disjoint authority ownership.</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10.6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9" w:history="1">
        <w:r>
          <w:rPr>
            <w:rFonts w:ascii="Calibri" w:hAnsi="Calibri" w:cs="Calibri"/>
            <w:color w:val="2E74B5"/>
            <w:u w:val="single"/>
          </w:rPr>
          <w:t>VESKO_OPENAPI_CONTRACT_AUDIT.md</w:t>
        </w:r>
      </w:hyperlink>
      <w:r>
        <w:rPr>
          <w:rFonts w:ascii="Calibri" w:hAnsi="Calibri" w:cs="Calibri"/>
        </w:rPr>
        <w:t xml:space="preserve"> and </w:t>
      </w:r>
      <w:hyperlink r:id="rIdHyperlink1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is Baseline;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5_SITE_MAP_AND_PAGE_FAMILY_AUTHORITY.md" TargetMode="External"/><Relationship Id="rIdHyperlink9" Type="http://schemas.openxmlformats.org/officeDocument/2006/relationships/hyperlink" Target="VESKO_OPENAPI_CONTRACT_AUDIT.md" TargetMode="External"/><Relationship Id="rIdHyperlink10" Type="http://schemas.openxmlformats.org/officeDocument/2006/relationships/hyperlink" Target="VESKO_VESKIFY_INTEGRATION_MATRIX.md" TargetMode="External"/><Relationship Id="rIdHyperlink11"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f8c2313d4e2145b7fdc29b9c9d1d7a1d54f4c40a88ef1d125fb8eaf1741c1b19</vt:lpwstr>
  </property>
  <property fmtid="{D5CDD505-2E9C-101B-9397-08002B2CF9AE}" pid="4" name="ExporterVersion">
    <vt:lpwstr>1.1.0</vt:lpwstr>
  </property>
  <property fmtid="{D5CDD505-2E9C-101B-9397-08002B2CF9AE}" pid="5" name="DesignPreset">
    <vt:lpwstr>compact_reference_guide</vt:lpwstr>
  </property>
</Properties>
</file>