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verified at bc209f4bdfed9626605b8c699aaabb547d5d2025; AR-06B Baseline / closed accepted at e2addffc29f7719e23e9e7856ecf7c739924501f; AR-06C Baseline / closed at PR #261 merge de0faeba0d40bd36ac83f25d533a3428f83501cc; AR-06 Partial pending lifecycle/publication and executable-commerce proof; AR-00B Baseline / closed at fa6c200; AR-06D in progress under BATCH-18 with one real model call and one official input-count request; owner technical-baseline acceptance recorded with visual quality below target; final review, CI and merge pending; AR-23 eligible / unstarted; BATCH-10 through BATCH-16 complete; BATCH-19 authorizes AR-10A only after accepted AR-06D merge; implementation unstarted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AR-00B visual-feedback policy amendment:</w:t>
      </w:r>
      <w:r>
        <w:rPr>
          <w:rFonts w:ascii="Calibri" w:hAnsi="Calibri" w:cs="Calibri"/>
        </w:rPr>
        <w:t xml:space="preserve"> Accepted at merge </w:t>
      </w:r>
      <w:r>
        <w:rPr>
          <w:rFonts w:ascii="Consolas" w:hAnsi="Consolas" w:cs="Consolas"/>
          <w:sz w:val="19"/>
          <w:szCs w:val="19"/>
        </w:rPr>
        <w:t>fa6c200</w:t>
      </w:r>
      <w:r>
        <w:rPr>
          <w:rFonts w:ascii="Calibri" w:hAnsi="Calibri" w:cs="Calibri"/>
        </w:rPr>
        <w:t xml:space="preserve">. BATCH-18 launches AR-06D; one real model call and one official input-count request have executed, and the owner has accepted the technical baseline only; final review, CI and merge remain pending.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Baseline / closed. Its accepted merge is fa6c200. AR-06D is In progress under BATCH-18 launch. One real model call and one official input-count request have executed. The owner accepts the honest technical baseline; visual quality remains below target. This is not commercial-quality acceptance or production approval. Final review, CI and merge remain pending. BATCH-19 authorizes AR-10A only after accepted AR-06D merge; implementation remains unstarted.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Accepted AR-06B adds guarded Puck editing and canonical round trip. Accepted AR-06C adds explicit guarded static-draft persistence and fresh-page reload. AR-06 remains Partial: history/publication integration, normal Studio rollout,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accepted PR #260</w:t>
      </w:r>
      <w:r>
        <w:rPr>
          <w:rFonts w:ascii="Calibri" w:hAnsi="Calibri" w:cs="Calibri"/>
        </w:rPr>
        <w:t xml:space="preserve"> | | AR-06C | AR-06 | Guarded canonical static-draft save and real IndexedDB reopen; </w:t>
      </w:r>
      <w:hyperlink r:id="rIdHyperlink48" w:history="1">
        <w:r>
          <w:rPr>
            <w:rFonts w:ascii="Calibri" w:hAnsi="Calibri" w:cs="Calibri"/>
            <w:color w:val="2E74B5"/>
            <w:u w:val="single"/>
          </w:rPr>
          <w:t>contract</w:t>
        </w:r>
      </w:hyperlink>
      <w:r>
        <w:rPr>
          <w:rFonts w:ascii="Calibri" w:hAnsi="Calibri" w:cs="Calibri"/>
        </w:rPr>
        <w:t xml:space="preserve">, </w:t>
      </w:r>
      <w:hyperlink r:id="rIdHyperlink49" w:history="1">
        <w:r>
          <w:rPr>
            <w:rFonts w:ascii="Calibri" w:hAnsi="Calibri" w:cs="Calibri"/>
            <w:color w:val="2E74B5"/>
            <w:u w:val="single"/>
          </w:rPr>
          <w:t>report</w:t>
        </w:r>
      </w:hyperlink>
      <w:r>
        <w:rPr>
          <w:rFonts w:ascii="Calibri" w:hAnsi="Calibri" w:cs="Calibri"/>
        </w:rPr>
        <w:t xml:space="preserve"> | </w:t>
      </w:r>
      <w:r>
        <w:rPr>
          <w:rFonts w:ascii="Calibri" w:hAnsi="Calibri" w:cs="Calibri"/>
          <w:b/>
          <w:bCs/>
        </w:rPr>
        <w:t>Baseline / closed; accepted PR #261, merge `de0faeba0d40bd36ac83f25d533a3428f83501cc`</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historical pre-AR selection; not current eligibility</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Historical eligibility superseded by the AR roadmap;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Historical scheduling projection (pre-AR; superseded, not current eligibility): 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Historical scheduling projection (pre-AR; superseded, not current eligibility):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Historical scheduling projection (pre-AR; superseded, not current eligibility): 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5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Historical scheduling projection (pre-AR; superseded, not current eligibility): The binding details and minimum coverage are in </w:t>
      </w:r>
      <w:hyperlink r:id="rIdHyperlink5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6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6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Historical scheduling projection (pre-AR; superseded, not current eligibility): 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Historical scheduling projection (pre-AR; superseded, not current eligibility): 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1" w:history="1">
        <w:r>
          <w:rPr>
            <w:rFonts w:ascii="Calibri" w:hAnsi="Calibri" w:cs="Calibri"/>
            <w:color w:val="2E74B5"/>
            <w:u w:val="single"/>
          </w:rPr>
          <w:t>VESKO_OPENAPI_CONTRACT_AUDIT.md</w:t>
        </w:r>
      </w:hyperlink>
      <w:r>
        <w:rPr>
          <w:rFonts w:ascii="Calibri" w:hAnsi="Calibri" w:cs="Calibri"/>
        </w:rPr>
        <w:t xml:space="preserve"> and </w:t>
      </w:r>
      <w:hyperlink r:id="rIdHyperlink7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Historical scheduling projection (pre-AR; superseded, not current eligibility): 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Historical 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historical pre-AR selection; not current eligibility</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widowControl/>
      </w:pPr>
      <w:r>
        <w:rPr>
          <w:rFonts w:ascii="Calibri" w:hAnsi="Calibri" w:cs="Calibri"/>
        </w:rPr>
        <w:t>Historical scheduling projection (pre-AR; superseded, not current eligibility):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governance/task-contracts/AR/AR-06C.json" TargetMode="External"/><Relationship Id="rIdHyperlink49" Type="http://schemas.openxmlformats.org/officeDocument/2006/relationships/hyperlink" Target="AR_06C_IMPLEMENTATION_REPORT.md" TargetMode="External"/><Relationship Id="rIdHyperlink50" Type="http://schemas.openxmlformats.org/officeDocument/2006/relationships/hyperlink" Target="P10A_PHASE_CLOSURE.md" TargetMode="External"/><Relationship Id="rIdHyperlink51" Type="http://schemas.openxmlformats.org/officeDocument/2006/relationships/hyperlink" Target="P10B_COMMERCIAL_STOREFRONT_GENERATION_ARCHITECTURE.md" TargetMode="External"/><Relationship Id="rIdHyperlink52" Type="http://schemas.openxmlformats.org/officeDocument/2006/relationships/hyperlink" Target="P10B_16P_04_REAL_STUDIO_DESIGN_INTENT_ACCEPTANCE.md" TargetMode="External"/><Relationship Id="rIdHyperlink53" Type="http://schemas.openxmlformats.org/officeDocument/2006/relationships/hyperlink" Target="P10B_01_COMMERCIAL_DESIGN_GRAMMAR.md" TargetMode="External"/><Relationship Id="rIdHyperlink54" Type="http://schemas.openxmlformats.org/officeDocument/2006/relationships/hyperlink" Target="P10B_02_PARAMETRIC_BRAND_SYSTEM.md" TargetMode="External"/><Relationship Id="rIdHyperlink55" Type="http://schemas.openxmlformats.org/officeDocument/2006/relationships/hyperlink" Target="P10B_03_COMPONENT_ANATOMY_AND_MEANINGFUL_VARIANTS.md" TargetMode="External"/><Relationship Id="rIdHyperlink56" Type="http://schemas.openxmlformats.org/officeDocument/2006/relationships/hyperlink" Target="P10B_04_RESPONSIVE_IMAGE_ART_DIRECTION.md" TargetMode="External"/><Relationship Id="rIdHyperlink57" Type="http://schemas.openxmlformats.org/officeDocument/2006/relationships/hyperlink" Target="P10B_05_SITE_MAP_AND_PAGE_FAMILY_AUTHORITY.md" TargetMode="External"/><Relationship Id="rIdHyperlink58" Type="http://schemas.openxmlformats.org/officeDocument/2006/relationships/hyperlink" Target="P10B_06_COMMERCIAL_SHARED_FRAME_FAMILIES.md" TargetMode="External"/><Relationship Id="rIdHyperlink59" Type="http://schemas.openxmlformats.org/officeDocument/2006/relationships/hyperlink" Target="P10B_07_HERO_EDITORIAL_CAMPAIGN_PROOF_FAMILIES.md" TargetMode="External"/><Relationship Id="rIdHyperlink60" Type="http://schemas.openxmlformats.org/officeDocument/2006/relationships/hyperlink" Target="P10B_08_CANONICAL_PRODUCT_CARD_AND_MERCHANDISING.md" TargetMode="External"/><Relationship Id="rIdHyperlink61" Type="http://schemas.openxmlformats.org/officeDocument/2006/relationships/hyperlink" Target="P10B_09_COMMERCIAL_HOMEPAGE_PROFILE_LIBRARY.md" TargetMode="External"/><Relationship Id="rIdHyperlink62" Type="http://schemas.openxmlformats.org/officeDocument/2006/relationships/hyperlink" Target="P10B_10_COMMERCIAL_COLLECTION_SEARCH_PROFILES.md" TargetMode="External"/><Relationship Id="rIdHyperlink63" Type="http://schemas.openxmlformats.org/officeDocument/2006/relationships/hyperlink" Target="P10B_12_CONTENT_AND_SUPPORT_PAGE_FAMILIES.md" TargetMode="External"/><Relationship Id="rIdHyperlink64" Type="http://schemas.openxmlformats.org/officeDocument/2006/relationships/hyperlink" Target="P10B_13_COMMERCE_UTILITY_PRESENTATION_PAGES.md" TargetMode="External"/><Relationship Id="rIdHyperlink65" Type="http://schemas.openxmlformats.org/officeDocument/2006/relationships/hyperlink" Target="P10B_14_PREMIUM_EDITORIAL_COMPLETE_STOREFRONT_VERTICAL_SLICE.md" TargetMode="External"/><Relationship Id="rIdHyperlink66" Type="http://schemas.openxmlformats.org/officeDocument/2006/relationships/hyperlink" Target="P10B_15_BOUNDED_STOREFRONT_SYNTHESIS_AND_NARRATIVE_ENGINE.md" TargetMode="External"/><Relationship Id="rIdHyperlink67" Type="http://schemas.openxmlformats.org/officeDocument/2006/relationships/hyperlink" Target="P10B_16_COORDINATED_DIRECTIONS_AND_DIVERSITY_CONTROL.md" TargetMode="External"/><Relationship Id="rIdHyperlink68" Type="http://schemas.openxmlformats.org/officeDocument/2006/relationships/hyperlink" Target="P10B_16P_01_DYNAMIC_COMMERCE_ROUTE_ARCHETYPES.md" TargetMode="External"/><Relationship Id="rIdHyperlink69" Type="http://schemas.openxmlformats.org/officeDocument/2006/relationships/hyperlink" Target="P10B_16P_02_PROMPTED_STOREFRONT_DESIGN_PLAN_V2.md" TargetMode="External"/><Relationship Id="rIdHyperlink70" Type="http://schemas.openxmlformats.org/officeDocument/2006/relationships/hyperlink" Target="P10B_18_COMMERCIAL_QUALITY_AUDIT.md" TargetMode="External"/><Relationship Id="rIdHyperlink71" Type="http://schemas.openxmlformats.org/officeDocument/2006/relationships/hyperlink" Target="VESKO_OPENAPI_CONTRACT_AUDIT.md" TargetMode="External"/><Relationship Id="rIdHyperlink7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4aa6b220fa215c518a51719afa4f9142abedbeeb9e319b7d31406d25f2d48bc8</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